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Pr="005A5BBB" w:rsidR="00CF5728" w:rsidRDefault="00206ADF" w14:paraId="4244A9B3" w14:textId="7FCAB15E">
      <w:pPr>
        <w:rPr>
          <w:rFonts w:ascii="Times New Roman" w:hAnsi="Times New Roman" w:cs="Times New Roman"/>
        </w:rPr>
      </w:pPr>
    </w:p>
    <w:p w:rsidRPr="005A5BBB" w:rsidR="00360E32" w:rsidRDefault="00360E32" w14:paraId="416FD871" w14:textId="7ACF466E">
      <w:pPr>
        <w:rPr>
          <w:rFonts w:ascii="Times New Roman" w:hAnsi="Times New Roman" w:cs="Times New Roman"/>
        </w:rPr>
      </w:pPr>
    </w:p>
    <w:p w:rsidRPr="005A5BBB" w:rsidR="00360E32" w:rsidRDefault="00360E32" w14:paraId="7CCDF2ED" w14:textId="08871E9F">
      <w:pPr>
        <w:rPr>
          <w:rFonts w:ascii="Times New Roman" w:hAnsi="Times New Roman" w:cs="Times New Roman"/>
        </w:rPr>
      </w:pPr>
    </w:p>
    <w:p w:rsidRPr="005A5BBB" w:rsidR="005A5BBB" w:rsidRDefault="005A5BBB" w14:paraId="42AE74D8" w14:textId="39C551B5">
      <w:pPr>
        <w:rPr>
          <w:rFonts w:ascii="Times New Roman" w:hAnsi="Times New Roman" w:cs="Times New Roman"/>
        </w:rPr>
      </w:pPr>
    </w:p>
    <w:p w:rsidRPr="005A5BBB" w:rsidR="005A5BBB" w:rsidRDefault="005A5BBB" w14:paraId="61DC56A2" w14:textId="5CF46270">
      <w:pPr>
        <w:rPr>
          <w:rFonts w:ascii="Times New Roman" w:hAnsi="Times New Roman" w:cs="Times New Roman"/>
        </w:rPr>
      </w:pPr>
    </w:p>
    <w:p w:rsidRPr="005A5BBB" w:rsidR="005A5BBB" w:rsidRDefault="005A5BBB" w14:paraId="26713782" w14:textId="606B4161">
      <w:pPr>
        <w:rPr>
          <w:rFonts w:ascii="Times New Roman" w:hAnsi="Times New Roman" w:cs="Times New Roman"/>
        </w:rPr>
      </w:pPr>
    </w:p>
    <w:p w:rsidRPr="00703160" w:rsidR="00703160" w:rsidP="00703160" w:rsidRDefault="00703160" w14:paraId="4E3E5B49" w14:textId="77777777">
      <w:pPr>
        <w:autoSpaceDE w:val="0"/>
        <w:autoSpaceDN w:val="0"/>
        <w:adjustRightInd w:val="0"/>
        <w:rPr>
          <w:rFonts w:ascii="Garamond" w:hAnsi="Garamond" w:cs="Garamond"/>
          <w:color w:val="000000"/>
        </w:rPr>
      </w:pPr>
    </w:p>
    <w:p w:rsidR="768F6FA1" w:rsidP="768F6FA1" w:rsidRDefault="768F6FA1" w14:paraId="47BEF207" w14:textId="6B25B9ED">
      <w:pPr>
        <w:pStyle w:val="Normal"/>
        <w:bidi w:val="0"/>
        <w:spacing w:before="0" w:beforeAutospacing="off" w:after="0" w:afterAutospacing="off" w:line="259" w:lineRule="auto"/>
        <w:ind w:left="0" w:right="0"/>
        <w:jc w:val="left"/>
        <w:rPr>
          <w:rFonts w:ascii="Times New Roman" w:hAnsi="Times New Roman" w:cs="Times New Roman"/>
          <w:sz w:val="28"/>
          <w:szCs w:val="28"/>
        </w:rPr>
      </w:pPr>
      <w:r w:rsidRPr="768F6FA1" w:rsidR="768F6FA1">
        <w:rPr>
          <w:rFonts w:ascii="Garamond" w:hAnsi="Garamond" w:cs="Garamond"/>
          <w:color w:val="000000" w:themeColor="text1" w:themeTint="FF" w:themeShade="FF"/>
        </w:rPr>
        <w:t xml:space="preserve"> </w:t>
      </w:r>
      <w:r w:rsidRPr="768F6FA1" w:rsidR="768F6FA1">
        <w:rPr>
          <w:rFonts w:ascii="Garamond" w:hAnsi="Garamond" w:cs="Garamond"/>
          <w:b w:val="1"/>
          <w:bCs w:val="1"/>
          <w:color w:val="000000" w:themeColor="text1" w:themeTint="FF" w:themeShade="FF"/>
          <w:sz w:val="36"/>
          <w:szCs w:val="36"/>
        </w:rPr>
        <w:t>The Seal of Biliteracy: A path to Equity and Access for Heritage Speakers</w:t>
      </w:r>
    </w:p>
    <w:p w:rsidRPr="00247E18" w:rsidR="005A5BBB" w:rsidRDefault="005A5BBB" w14:paraId="5268AC30" w14:textId="77777777">
      <w:pPr>
        <w:rPr>
          <w:rFonts w:ascii="Times New Roman" w:hAnsi="Times New Roman" w:cs="Times New Roman"/>
          <w:sz w:val="28"/>
          <w:szCs w:val="28"/>
        </w:rPr>
      </w:pPr>
    </w:p>
    <w:p w:rsidRPr="00247E18" w:rsidR="005A5BBB" w:rsidP="00360E32" w:rsidRDefault="00360E32" w14:paraId="36C8B7BE" w14:textId="214B7F89">
      <w:pPr>
        <w:jc w:val="center"/>
        <w:rPr>
          <w:rFonts w:ascii="Times New Roman" w:hAnsi="Times New Roman" w:cs="Times New Roman"/>
          <w:i/>
          <w:iCs/>
          <w:sz w:val="28"/>
          <w:szCs w:val="28"/>
          <w:lang w:val="en"/>
        </w:rPr>
      </w:pPr>
      <w:r w:rsidRPr="00247E18">
        <w:rPr>
          <w:rFonts w:ascii="Times New Roman" w:hAnsi="Times New Roman" w:cs="Times New Roman"/>
          <w:i/>
          <w:iCs/>
          <w:sz w:val="28"/>
          <w:szCs w:val="28"/>
          <w:lang w:val="en"/>
        </w:rPr>
        <w:t>"Accelerat</w:t>
      </w:r>
      <w:r w:rsidRPr="00247E18" w:rsidR="00BC3A9B">
        <w:rPr>
          <w:rFonts w:ascii="Times New Roman" w:hAnsi="Times New Roman" w:cs="Times New Roman"/>
          <w:i/>
          <w:iCs/>
          <w:sz w:val="28"/>
          <w:szCs w:val="28"/>
          <w:lang w:val="en"/>
        </w:rPr>
        <w:t>ing L</w:t>
      </w:r>
      <w:r w:rsidRPr="00247E18">
        <w:rPr>
          <w:rFonts w:ascii="Times New Roman" w:hAnsi="Times New Roman" w:cs="Times New Roman"/>
          <w:i/>
          <w:iCs/>
          <w:sz w:val="28"/>
          <w:szCs w:val="28"/>
          <w:lang w:val="en"/>
        </w:rPr>
        <w:t xml:space="preserve">earning of </w:t>
      </w:r>
      <w:r w:rsidRPr="00247E18" w:rsidR="00BC3A9B">
        <w:rPr>
          <w:rFonts w:ascii="Times New Roman" w:hAnsi="Times New Roman" w:cs="Times New Roman"/>
          <w:i/>
          <w:iCs/>
          <w:sz w:val="28"/>
          <w:szCs w:val="28"/>
          <w:lang w:val="en"/>
        </w:rPr>
        <w:t>H</w:t>
      </w:r>
      <w:r w:rsidRPr="00247E18">
        <w:rPr>
          <w:rFonts w:ascii="Times New Roman" w:hAnsi="Times New Roman" w:cs="Times New Roman"/>
          <w:i/>
          <w:iCs/>
          <w:sz w:val="28"/>
          <w:szCs w:val="28"/>
          <w:lang w:val="en"/>
        </w:rPr>
        <w:t>eritage</w:t>
      </w:r>
      <w:r w:rsidRPr="00247E18" w:rsidR="00BC3A9B">
        <w:rPr>
          <w:rFonts w:ascii="Times New Roman" w:hAnsi="Times New Roman" w:cs="Times New Roman"/>
          <w:i/>
          <w:iCs/>
          <w:sz w:val="28"/>
          <w:szCs w:val="28"/>
          <w:lang w:val="en"/>
        </w:rPr>
        <w:t xml:space="preserve"> S</w:t>
      </w:r>
      <w:r w:rsidRPr="00247E18">
        <w:rPr>
          <w:rFonts w:ascii="Times New Roman" w:hAnsi="Times New Roman" w:cs="Times New Roman"/>
          <w:i/>
          <w:iCs/>
          <w:sz w:val="28"/>
          <w:szCs w:val="28"/>
          <w:lang w:val="en"/>
        </w:rPr>
        <w:t xml:space="preserve">peakers in our </w:t>
      </w:r>
      <w:r w:rsidRPr="00247E18" w:rsidR="00BC3A9B">
        <w:rPr>
          <w:rFonts w:ascii="Times New Roman" w:hAnsi="Times New Roman" w:cs="Times New Roman"/>
          <w:i/>
          <w:iCs/>
          <w:sz w:val="28"/>
          <w:szCs w:val="28"/>
          <w:lang w:val="en"/>
        </w:rPr>
        <w:t>W</w:t>
      </w:r>
      <w:r w:rsidRPr="00247E18">
        <w:rPr>
          <w:rFonts w:ascii="Times New Roman" w:hAnsi="Times New Roman" w:cs="Times New Roman"/>
          <w:i/>
          <w:iCs/>
          <w:sz w:val="28"/>
          <w:szCs w:val="28"/>
          <w:lang w:val="en"/>
        </w:rPr>
        <w:t xml:space="preserve">orld </w:t>
      </w:r>
      <w:r w:rsidRPr="00247E18" w:rsidR="00BC3A9B">
        <w:rPr>
          <w:rFonts w:ascii="Times New Roman" w:hAnsi="Times New Roman" w:cs="Times New Roman"/>
          <w:i/>
          <w:iCs/>
          <w:sz w:val="28"/>
          <w:szCs w:val="28"/>
          <w:lang w:val="en"/>
        </w:rPr>
        <w:t>L</w:t>
      </w:r>
      <w:r w:rsidRPr="00247E18">
        <w:rPr>
          <w:rFonts w:ascii="Times New Roman" w:hAnsi="Times New Roman" w:cs="Times New Roman"/>
          <w:i/>
          <w:iCs/>
          <w:sz w:val="28"/>
          <w:szCs w:val="28"/>
          <w:lang w:val="en"/>
        </w:rPr>
        <w:t xml:space="preserve">anguage </w:t>
      </w:r>
      <w:r w:rsidRPr="00247E18" w:rsidR="00BC3A9B">
        <w:rPr>
          <w:rFonts w:ascii="Times New Roman" w:hAnsi="Times New Roman" w:cs="Times New Roman"/>
          <w:i/>
          <w:iCs/>
          <w:sz w:val="28"/>
          <w:szCs w:val="28"/>
          <w:lang w:val="en"/>
        </w:rPr>
        <w:t>C</w:t>
      </w:r>
      <w:r w:rsidRPr="00247E18">
        <w:rPr>
          <w:rFonts w:ascii="Times New Roman" w:hAnsi="Times New Roman" w:cs="Times New Roman"/>
          <w:i/>
          <w:iCs/>
          <w:sz w:val="28"/>
          <w:szCs w:val="28"/>
          <w:lang w:val="en"/>
        </w:rPr>
        <w:t xml:space="preserve">lassrooms: </w:t>
      </w:r>
    </w:p>
    <w:p w:rsidRPr="00247E18" w:rsidR="00360E32" w:rsidP="00360E32" w:rsidRDefault="00360E32" w14:paraId="27848983" w14:textId="07F7408B">
      <w:pPr>
        <w:jc w:val="center"/>
        <w:rPr>
          <w:rFonts w:ascii="Times New Roman" w:hAnsi="Times New Roman" w:cs="Times New Roman"/>
          <w:i/>
          <w:iCs/>
          <w:sz w:val="28"/>
          <w:szCs w:val="28"/>
        </w:rPr>
      </w:pPr>
      <w:r w:rsidRPr="00247E18">
        <w:rPr>
          <w:rFonts w:ascii="Times New Roman" w:hAnsi="Times New Roman" w:cs="Times New Roman"/>
          <w:i/>
          <w:iCs/>
          <w:sz w:val="28"/>
          <w:szCs w:val="28"/>
          <w:lang w:val="en"/>
        </w:rPr>
        <w:t xml:space="preserve">our </w:t>
      </w:r>
      <w:r w:rsidRPr="00247E18" w:rsidR="00BC3A9B">
        <w:rPr>
          <w:rFonts w:ascii="Times New Roman" w:hAnsi="Times New Roman" w:cs="Times New Roman"/>
          <w:i/>
          <w:iCs/>
          <w:sz w:val="28"/>
          <w:szCs w:val="28"/>
          <w:lang w:val="en"/>
        </w:rPr>
        <w:t>S</w:t>
      </w:r>
      <w:r w:rsidRPr="00247E18">
        <w:rPr>
          <w:rFonts w:ascii="Times New Roman" w:hAnsi="Times New Roman" w:cs="Times New Roman"/>
          <w:i/>
          <w:iCs/>
          <w:sz w:val="28"/>
          <w:szCs w:val="28"/>
          <w:lang w:val="en"/>
        </w:rPr>
        <w:t>tudents</w:t>
      </w:r>
      <w:r w:rsidRPr="00247E18" w:rsidR="005A5BBB">
        <w:rPr>
          <w:rFonts w:ascii="Times New Roman" w:hAnsi="Times New Roman" w:cs="Times New Roman"/>
          <w:i/>
          <w:iCs/>
          <w:sz w:val="28"/>
          <w:szCs w:val="28"/>
          <w:lang w:val="en"/>
        </w:rPr>
        <w:t xml:space="preserve"> of</w:t>
      </w:r>
      <w:r w:rsidRPr="00247E18" w:rsidR="00BC3A9B">
        <w:rPr>
          <w:rFonts w:ascii="Times New Roman" w:hAnsi="Times New Roman" w:cs="Times New Roman"/>
          <w:i/>
          <w:iCs/>
          <w:sz w:val="28"/>
          <w:szCs w:val="28"/>
          <w:lang w:val="en"/>
        </w:rPr>
        <w:t xml:space="preserve"> P</w:t>
      </w:r>
      <w:r w:rsidRPr="00247E18" w:rsidR="005A5BBB">
        <w:rPr>
          <w:rFonts w:ascii="Times New Roman" w:hAnsi="Times New Roman" w:cs="Times New Roman"/>
          <w:i/>
          <w:iCs/>
          <w:sz w:val="28"/>
          <w:szCs w:val="28"/>
          <w:lang w:val="en"/>
        </w:rPr>
        <w:t>romise</w:t>
      </w:r>
      <w:r w:rsidRPr="00247E18">
        <w:rPr>
          <w:rFonts w:ascii="Times New Roman" w:hAnsi="Times New Roman" w:cs="Times New Roman"/>
          <w:i/>
          <w:iCs/>
          <w:sz w:val="28"/>
          <w:szCs w:val="28"/>
          <w:lang w:val="en"/>
        </w:rPr>
        <w:t>."</w:t>
      </w:r>
    </w:p>
    <w:p w:rsidR="00247E18" w:rsidP="00360E32" w:rsidRDefault="00247E18" w14:paraId="47C8F017" w14:textId="77777777">
      <w:pPr>
        <w:jc w:val="center"/>
        <w:rPr>
          <w:rFonts w:ascii="Times New Roman" w:hAnsi="Times New Roman" w:cs="Times New Roman"/>
          <w:sz w:val="28"/>
          <w:szCs w:val="28"/>
          <w:lang w:val="en"/>
        </w:rPr>
      </w:pPr>
    </w:p>
    <w:p w:rsidRPr="00247E18" w:rsidR="00BC3A9B" w:rsidP="00360E32" w:rsidRDefault="00247E18" w14:paraId="35633651" w14:textId="50437AC0">
      <w:pPr>
        <w:jc w:val="center"/>
        <w:rPr>
          <w:rFonts w:ascii="Times New Roman" w:hAnsi="Times New Roman" w:cs="Times New Roman"/>
        </w:rPr>
      </w:pPr>
      <w:r w:rsidRPr="00247E18">
        <w:rPr>
          <w:rFonts w:ascii="Times New Roman" w:hAnsi="Times New Roman" w:cs="Times New Roman"/>
        </w:rPr>
        <w:t>Agnès Ndiaye Tounkara</w:t>
      </w:r>
    </w:p>
    <w:p w:rsidR="00247E18" w:rsidP="00360E32" w:rsidRDefault="00247E18" w14:paraId="3FC7E70A" w14:textId="2B56A77F">
      <w:pPr>
        <w:jc w:val="center"/>
        <w:rPr>
          <w:rFonts w:ascii="Times New Roman" w:hAnsi="Times New Roman" w:cs="Times New Roman"/>
        </w:rPr>
      </w:pPr>
      <w:r w:rsidRPr="00247E18">
        <w:rPr>
          <w:rFonts w:ascii="Times New Roman" w:hAnsi="Times New Roman" w:cs="Times New Roman"/>
        </w:rPr>
        <w:t>(Coordinator of the French Heritage Language Program)</w:t>
      </w:r>
    </w:p>
    <w:p w:rsidRPr="00247E18" w:rsidR="00247E18" w:rsidP="00360E32" w:rsidRDefault="00247E18" w14:paraId="36648F99" w14:textId="77777777">
      <w:pPr>
        <w:jc w:val="center"/>
        <w:rPr>
          <w:rFonts w:ascii="Times New Roman" w:hAnsi="Times New Roman" w:cs="Times New Roman"/>
        </w:rPr>
      </w:pPr>
    </w:p>
    <w:p w:rsidRPr="005A5BBB" w:rsidR="00360E32" w:rsidP="00360E32" w:rsidRDefault="00360E32" w14:paraId="5CFF290C" w14:textId="77777777">
      <w:pPr>
        <w:jc w:val="both"/>
        <w:rPr>
          <w:rFonts w:ascii="Times New Roman" w:hAnsi="Times New Roman" w:cs="Times New Roman"/>
        </w:rPr>
      </w:pPr>
    </w:p>
    <w:p w:rsidRPr="005A5BBB" w:rsidR="00360E32" w:rsidP="00360E32" w:rsidRDefault="00C135AF" w14:paraId="43D6A86C" w14:textId="77338533">
      <w:pPr>
        <w:ind w:firstLine="720"/>
        <w:jc w:val="both"/>
        <w:rPr>
          <w:rFonts w:ascii="Times New Roman" w:hAnsi="Times New Roman" w:cs="Times New Roman"/>
        </w:rPr>
      </w:pPr>
      <w:r w:rsidRPr="005A5BBB">
        <w:rPr>
          <w:rFonts w:ascii="Times New Roman" w:hAnsi="Times New Roman" w:cs="Times New Roman"/>
          <w:lang w:val="en"/>
        </w:rPr>
        <w:t>The Department of Multilingual Learners of the New York City Department of Education has just released a report entitled</w:t>
      </w:r>
      <w:r>
        <w:rPr>
          <w:rFonts w:ascii="Times New Roman" w:hAnsi="Times New Roman" w:cs="Times New Roman"/>
          <w:lang w:val="en"/>
        </w:rPr>
        <w:t xml:space="preserve"> </w:t>
      </w:r>
      <w:hyperlink w:history="1" r:id="rId7">
        <w:r w:rsidRPr="00BC3A9B">
          <w:rPr>
            <w:rStyle w:val="Hyperlink"/>
            <w:rFonts w:ascii="Times New Roman" w:hAnsi="Times New Roman" w:cs="Times New Roman"/>
            <w:i/>
            <w:iCs/>
            <w:lang w:val="en"/>
          </w:rPr>
          <w:t>"Accelerat</w:t>
        </w:r>
        <w:r>
          <w:rPr>
            <w:rStyle w:val="Hyperlink"/>
            <w:rFonts w:ascii="Times New Roman" w:hAnsi="Times New Roman" w:cs="Times New Roman"/>
            <w:i/>
            <w:iCs/>
            <w:lang w:val="en"/>
          </w:rPr>
          <w:t>ing</w:t>
        </w:r>
        <w:r w:rsidRPr="00BC3A9B">
          <w:rPr>
            <w:rStyle w:val="Hyperlink"/>
            <w:rFonts w:ascii="Times New Roman" w:hAnsi="Times New Roman" w:cs="Times New Roman"/>
            <w:i/>
            <w:iCs/>
            <w:lang w:val="en"/>
          </w:rPr>
          <w:t xml:space="preserve"> Learning for Heritage Speakers in our World Language Classrooms: our Students of Promise"</w:t>
        </w:r>
      </w:hyperlink>
      <w:r w:rsidRPr="005A5BBB">
        <w:rPr>
          <w:rFonts w:ascii="Times New Roman" w:hAnsi="Times New Roman" w:cs="Times New Roman"/>
          <w:lang w:val="en"/>
        </w:rPr>
        <w:t xml:space="preserve"> </w:t>
      </w:r>
      <w:r w:rsidRPr="005A5BBB">
        <w:rPr>
          <w:rStyle w:val="FootnoteReference"/>
          <w:rFonts w:ascii="Times New Roman" w:hAnsi="Times New Roman" w:cs="Times New Roman"/>
          <w:i/>
          <w:iCs/>
          <w:lang w:val="en"/>
        </w:rPr>
        <w:footnoteReference w:id="1"/>
      </w:r>
      <w:r w:rsidRPr="005A5BBB">
        <w:rPr>
          <w:rFonts w:ascii="Times New Roman" w:hAnsi="Times New Roman" w:cs="Times New Roman"/>
          <w:lang w:val="en"/>
        </w:rPr>
        <w:t xml:space="preserve"> in which it identifies heritage programs as a way to improve high school graduation rates for Hispanic populations in particular </w:t>
      </w:r>
      <w:r>
        <w:rPr>
          <w:rFonts w:ascii="Times New Roman" w:hAnsi="Times New Roman" w:cs="Times New Roman"/>
          <w:lang w:val="en"/>
        </w:rPr>
        <w:t>(</w:t>
      </w:r>
      <w:r w:rsidRPr="00BC3A9B">
        <w:rPr>
          <w:rFonts w:ascii="Times New Roman" w:hAnsi="Times New Roman" w:cs="Times New Roman"/>
          <w:lang w:val="en"/>
        </w:rPr>
        <w:t>more than 60% of ELLs</w:t>
      </w:r>
      <w:r>
        <w:rPr>
          <w:rFonts w:ascii="Times New Roman" w:hAnsi="Times New Roman" w:cs="Times New Roman"/>
          <w:lang w:val="en"/>
        </w:rPr>
        <w:t>)</w:t>
      </w:r>
      <w:r w:rsidRPr="005A5BBB">
        <w:rPr>
          <w:rFonts w:ascii="Times New Roman" w:hAnsi="Times New Roman" w:cs="Times New Roman"/>
          <w:lang w:val="en"/>
        </w:rPr>
        <w:t xml:space="preserve"> but also for all students with a heritage language. </w:t>
      </w:r>
    </w:p>
    <w:p w:rsidRPr="005A5BBB" w:rsidR="00360E32" w:rsidP="00360E32" w:rsidRDefault="00360E32" w14:paraId="1D0802C4" w14:textId="77777777">
      <w:pPr>
        <w:ind w:firstLine="720"/>
        <w:jc w:val="both"/>
        <w:rPr>
          <w:rFonts w:ascii="Times New Roman" w:hAnsi="Times New Roman" w:cs="Times New Roman"/>
        </w:rPr>
      </w:pPr>
    </w:p>
    <w:p w:rsidR="00247E18" w:rsidP="00247E18" w:rsidRDefault="00360E32" w14:paraId="3FC7A8E3" w14:textId="3A605DB1">
      <w:pPr>
        <w:ind w:firstLine="720"/>
        <w:jc w:val="both"/>
        <w:rPr>
          <w:rFonts w:ascii="Times New Roman" w:hAnsi="Times New Roman" w:cs="Times New Roman"/>
          <w:lang w:val="en"/>
        </w:rPr>
      </w:pPr>
      <w:r w:rsidRPr="005A5BBB">
        <w:rPr>
          <w:rFonts w:ascii="Times New Roman" w:hAnsi="Times New Roman" w:cs="Times New Roman"/>
          <w:lang w:val="en"/>
        </w:rPr>
        <w:t xml:space="preserve">The report </w:t>
      </w:r>
      <w:r w:rsidR="006972AC">
        <w:rPr>
          <w:rFonts w:ascii="Times New Roman" w:hAnsi="Times New Roman" w:cs="Times New Roman"/>
          <w:lang w:val="en"/>
        </w:rPr>
        <w:t xml:space="preserve"> gives recommendations based on several points:</w:t>
      </w:r>
    </w:p>
    <w:p w:rsidR="00247E18" w:rsidP="00247E18" w:rsidRDefault="00247E18" w14:paraId="74C7C860" w14:textId="77777777">
      <w:pPr>
        <w:ind w:firstLine="720"/>
        <w:jc w:val="both"/>
        <w:rPr>
          <w:rFonts w:ascii="Times New Roman" w:hAnsi="Times New Roman" w:cs="Times New Roman"/>
          <w:lang w:val="en"/>
        </w:rPr>
      </w:pPr>
    </w:p>
    <w:p w:rsidRPr="00BC3A9B" w:rsidR="00360E32" w:rsidP="00BC3A9B" w:rsidRDefault="00360E32" w14:paraId="575ED046" w14:textId="0A07D53C">
      <w:pPr>
        <w:pStyle w:val="ListParagraph"/>
        <w:numPr>
          <w:ilvl w:val="0"/>
          <w:numId w:val="3"/>
        </w:numPr>
        <w:jc w:val="both"/>
        <w:rPr>
          <w:rFonts w:ascii="Times New Roman" w:hAnsi="Times New Roman" w:cs="Times New Roman"/>
        </w:rPr>
      </w:pPr>
      <w:r w:rsidRPr="00BC3A9B">
        <w:rPr>
          <w:rFonts w:ascii="Times New Roman" w:hAnsi="Times New Roman" w:cs="Times New Roman"/>
          <w:lang w:val="en"/>
        </w:rPr>
        <w:t xml:space="preserve"> the priorities given to schools by the DOE for the next decade in a report entitled </w:t>
      </w:r>
      <w:hyperlink w:history="1" r:id="rId8">
        <w:r w:rsidRPr="006972AC">
          <w:rPr>
            <w:rStyle w:val="Hyperlink"/>
            <w:rFonts w:ascii="Times New Roman" w:hAnsi="Times New Roman" w:cs="Times New Roman"/>
            <w:lang w:val="en"/>
          </w:rPr>
          <w:t>"</w:t>
        </w:r>
        <w:r w:rsidRPr="006972AC" w:rsidR="00247E18">
          <w:rPr>
            <w:rStyle w:val="Hyperlink"/>
            <w:rFonts w:ascii="Times New Roman" w:hAnsi="Times New Roman" w:cs="Times New Roman"/>
            <w:lang w:val="en"/>
          </w:rPr>
          <w:t xml:space="preserve"> Pedagogical </w:t>
        </w:r>
        <w:r w:rsidRPr="006972AC">
          <w:rPr>
            <w:rStyle w:val="Hyperlink"/>
            <w:rFonts w:ascii="Times New Roman" w:hAnsi="Times New Roman" w:cs="Times New Roman"/>
            <w:lang w:val="en"/>
          </w:rPr>
          <w:t>Leadership Framework"</w:t>
        </w:r>
      </w:hyperlink>
      <w:r w:rsidRPr="00BC3A9B">
        <w:rPr>
          <w:rFonts w:ascii="Times New Roman" w:hAnsi="Times New Roman" w:cs="Times New Roman"/>
          <w:lang w:val="en"/>
        </w:rPr>
        <w:t xml:space="preserve"> </w:t>
      </w:r>
      <w:r w:rsidRPr="00BC3A9B" w:rsidR="005A5BBB">
        <w:rPr>
          <w:rFonts w:ascii="Times New Roman" w:hAnsi="Times New Roman" w:cs="Times New Roman"/>
          <w:lang w:val="en"/>
        </w:rPr>
        <w:t xml:space="preserve">in </w:t>
      </w:r>
      <w:r w:rsidRPr="00BC3A9B">
        <w:rPr>
          <w:rFonts w:ascii="Times New Roman" w:hAnsi="Times New Roman" w:cs="Times New Roman"/>
          <w:lang w:val="en"/>
        </w:rPr>
        <w:t xml:space="preserve">which </w:t>
      </w:r>
      <w:r w:rsidRPr="00BC3A9B" w:rsidR="005A5BBB">
        <w:rPr>
          <w:rFonts w:ascii="Times New Roman" w:hAnsi="Times New Roman" w:cs="Times New Roman"/>
          <w:lang w:val="en"/>
        </w:rPr>
        <w:t xml:space="preserve">it </w:t>
      </w:r>
      <w:r w:rsidRPr="00BC3A9B">
        <w:rPr>
          <w:rFonts w:ascii="Times New Roman" w:hAnsi="Times New Roman" w:cs="Times New Roman"/>
          <w:lang w:val="en"/>
        </w:rPr>
        <w:t xml:space="preserve">calls on all schools to improve the content of academic programs for all students, based on a </w:t>
      </w:r>
      <w:r w:rsidRPr="00BC3A9B" w:rsidR="005A5BBB">
        <w:rPr>
          <w:rFonts w:ascii="Times New Roman" w:hAnsi="Times New Roman" w:cs="Times New Roman"/>
          <w:lang w:val="en"/>
        </w:rPr>
        <w:t>c</w:t>
      </w:r>
      <w:r w:rsidRPr="00BC3A9B">
        <w:rPr>
          <w:rFonts w:ascii="Times New Roman" w:hAnsi="Times New Roman" w:cs="Times New Roman"/>
          <w:lang w:val="en"/>
        </w:rPr>
        <w:t xml:space="preserve">ommon and curriculum of </w:t>
      </w:r>
      <w:r w:rsidRPr="00BC3A9B" w:rsidR="005A5BBB">
        <w:rPr>
          <w:rFonts w:ascii="Times New Roman" w:hAnsi="Times New Roman" w:cs="Times New Roman"/>
          <w:lang w:val="en"/>
        </w:rPr>
        <w:t xml:space="preserve">inclusive  </w:t>
      </w:r>
      <w:r w:rsidRPr="00BC3A9B">
        <w:rPr>
          <w:rFonts w:ascii="Times New Roman" w:hAnsi="Times New Roman" w:cs="Times New Roman"/>
          <w:lang w:val="en"/>
        </w:rPr>
        <w:t>all cultures and sensitivities represented in schools.</w:t>
      </w:r>
      <w:r w:rsidRPr="005A5BBB">
        <w:rPr>
          <w:rStyle w:val="FootnoteReference"/>
          <w:rFonts w:ascii="Times New Roman" w:hAnsi="Times New Roman" w:cs="Times New Roman"/>
          <w:lang w:val="en"/>
        </w:rPr>
        <w:footnoteReference w:id="2"/>
      </w:r>
      <w:r w:rsidRPr="005A5BBB">
        <w:rPr>
          <w:rStyle w:val="FootnoteReference"/>
          <w:rFonts w:ascii="Times New Roman" w:hAnsi="Times New Roman" w:cs="Times New Roman"/>
          <w:lang w:val="en"/>
        </w:rPr>
        <w:footnoteReference w:id="3"/>
      </w:r>
    </w:p>
    <w:p w:rsidRPr="005A5BBB" w:rsidR="00360E32" w:rsidP="00360E32" w:rsidRDefault="00360E32" w14:paraId="6B68FAAC" w14:textId="77777777">
      <w:pPr>
        <w:ind w:firstLine="720"/>
        <w:jc w:val="both"/>
        <w:rPr>
          <w:rFonts w:ascii="Times New Roman" w:hAnsi="Times New Roman" w:cs="Times New Roman"/>
        </w:rPr>
      </w:pPr>
    </w:p>
    <w:p w:rsidRPr="00247E18" w:rsidR="00247E18" w:rsidP="00BC3A9B" w:rsidRDefault="00360E32" w14:paraId="6947B1E5" w14:textId="401D771B">
      <w:pPr>
        <w:pStyle w:val="ListParagraph"/>
        <w:numPr>
          <w:ilvl w:val="0"/>
          <w:numId w:val="3"/>
        </w:numPr>
        <w:jc w:val="both"/>
        <w:rPr>
          <w:rFonts w:ascii="Times New Roman" w:hAnsi="Times New Roman" w:cs="Times New Roman"/>
          <w:lang w:val="fr-FR"/>
        </w:rPr>
      </w:pPr>
      <w:r w:rsidRPr="00BC3A9B">
        <w:rPr>
          <w:rFonts w:ascii="Times New Roman" w:hAnsi="Times New Roman" w:cs="Times New Roman"/>
          <w:lang w:val="en"/>
        </w:rPr>
        <w:t xml:space="preserve">the great diversity of students in New York </w:t>
      </w:r>
      <w:r w:rsidR="00247E18">
        <w:rPr>
          <w:rFonts w:ascii="Times New Roman" w:hAnsi="Times New Roman" w:cs="Times New Roman"/>
          <w:lang w:val="en"/>
        </w:rPr>
        <w:t>where 43% of the students speak another language at home.</w:t>
      </w:r>
    </w:p>
    <w:p w:rsidRPr="00247E18" w:rsidR="00247E18" w:rsidP="00247E18" w:rsidRDefault="00247E18" w14:paraId="7E808417" w14:textId="77777777">
      <w:pPr>
        <w:pStyle w:val="ListParagraph"/>
        <w:rPr>
          <w:rFonts w:ascii="Times New Roman" w:hAnsi="Times New Roman" w:cs="Times New Roman"/>
          <w:lang w:val="en"/>
        </w:rPr>
      </w:pPr>
    </w:p>
    <w:p w:rsidRPr="00BC3A9B" w:rsidR="00360E32" w:rsidP="00BC3A9B" w:rsidRDefault="00360E32" w14:paraId="3565923E" w14:textId="4D24D9C6">
      <w:pPr>
        <w:pStyle w:val="ListParagraph"/>
        <w:numPr>
          <w:ilvl w:val="0"/>
          <w:numId w:val="3"/>
        </w:numPr>
        <w:jc w:val="both"/>
        <w:rPr>
          <w:rFonts w:ascii="Times New Roman" w:hAnsi="Times New Roman" w:cs="Times New Roman"/>
        </w:rPr>
      </w:pPr>
      <w:r w:rsidRPr="00BC3A9B">
        <w:rPr>
          <w:rFonts w:ascii="Times New Roman" w:hAnsi="Times New Roman" w:cs="Times New Roman"/>
          <w:lang w:val="en"/>
        </w:rPr>
        <w:t xml:space="preserve">the COVID-19 pandemic </w:t>
      </w:r>
      <w:r w:rsidR="006972AC">
        <w:rPr>
          <w:rFonts w:ascii="Times New Roman" w:hAnsi="Times New Roman" w:cs="Times New Roman"/>
          <w:lang w:val="en"/>
        </w:rPr>
        <w:t xml:space="preserve">presented </w:t>
      </w:r>
      <w:r w:rsidRPr="00BC3A9B">
        <w:rPr>
          <w:rFonts w:ascii="Times New Roman" w:hAnsi="Times New Roman" w:cs="Times New Roman"/>
          <w:lang w:val="en"/>
        </w:rPr>
        <w:t xml:space="preserve">as a unique opportunity to differentiate education and give </w:t>
      </w:r>
      <w:r w:rsidR="00247E18">
        <w:rPr>
          <w:rFonts w:ascii="Times New Roman" w:hAnsi="Times New Roman" w:cs="Times New Roman"/>
          <w:lang w:val="en"/>
        </w:rPr>
        <w:t>these</w:t>
      </w:r>
      <w:r w:rsidRPr="00BC3A9B">
        <w:rPr>
          <w:rFonts w:ascii="Times New Roman" w:hAnsi="Times New Roman" w:cs="Times New Roman"/>
          <w:lang w:val="en"/>
        </w:rPr>
        <w:t xml:space="preserve"> students an academic experience tailored to their needs and profiles.</w:t>
      </w:r>
    </w:p>
    <w:p w:rsidRPr="005A5BBB" w:rsidR="00360E32" w:rsidP="00360E32" w:rsidRDefault="00360E32" w14:paraId="14A834CF" w14:textId="77777777">
      <w:pPr>
        <w:jc w:val="both"/>
        <w:rPr>
          <w:rFonts w:ascii="Times New Roman" w:hAnsi="Times New Roman" w:cs="Times New Roman"/>
        </w:rPr>
      </w:pPr>
    </w:p>
    <w:p w:rsidRPr="005A5BBB" w:rsidR="00360E32" w:rsidP="00BC3A9B" w:rsidRDefault="00BC3A9B" w14:paraId="13FEAC57" w14:textId="5675B4B8">
      <w:pPr>
        <w:pStyle w:val="BodyText"/>
        <w:numPr>
          <w:ilvl w:val="0"/>
          <w:numId w:val="3"/>
        </w:numPr>
        <w:jc w:val="both"/>
        <w:rPr>
          <w:rFonts w:ascii="Times New Roman" w:hAnsi="Times New Roman" w:cs="Times New Roman"/>
          <w:b w:val="0"/>
          <w:bCs w:val="0"/>
          <w:lang w:val="fr-FR"/>
        </w:rPr>
      </w:pPr>
      <w:r>
        <w:rPr>
          <w:rFonts w:ascii="Times New Roman" w:hAnsi="Times New Roman" w:cs="Times New Roman"/>
          <w:b w:val="0"/>
          <w:bCs w:val="0"/>
          <w:lang w:val="en"/>
        </w:rPr>
        <w:t>the</w:t>
      </w:r>
      <w:r w:rsidRPr="005A5BBB" w:rsidR="00360E32">
        <w:rPr>
          <w:rFonts w:ascii="Times New Roman" w:hAnsi="Times New Roman" w:cs="Times New Roman"/>
          <w:b w:val="0"/>
          <w:bCs w:val="0"/>
          <w:lang w:val="en"/>
        </w:rPr>
        <w:t xml:space="preserve"> research that has shown that the placement of bilingual students in foreign language classes is not optimal for their academic performance and does not take into account their knowledge and intellectual abilities in their native languages. Research also suggests that heritage language classes by strengthening students' skills in their native languages have an impact on their English learning and can thus contribute to better success rates on the high school graduation </w:t>
      </w:r>
      <w:r w:rsidRPr="005A5BBB" w:rsidR="005A5BBB">
        <w:rPr>
          <w:rFonts w:ascii="Times New Roman" w:hAnsi="Times New Roman" w:cs="Times New Roman"/>
          <w:b w:val="0"/>
          <w:bCs w:val="0"/>
          <w:lang w:val="en"/>
        </w:rPr>
        <w:t xml:space="preserve">rates, better college access </w:t>
      </w:r>
      <w:r w:rsidRPr="005A5BBB" w:rsidR="00360E32">
        <w:rPr>
          <w:rFonts w:ascii="Times New Roman" w:hAnsi="Times New Roman" w:cs="Times New Roman"/>
          <w:b w:val="0"/>
          <w:bCs w:val="0"/>
          <w:lang w:val="en"/>
        </w:rPr>
        <w:t>and also the retention and success rate in high school. (Potowski, 2018)</w:t>
      </w:r>
    </w:p>
    <w:p w:rsidRPr="00BC3A9B" w:rsidR="00BC3A9B" w:rsidP="00BC3A9B" w:rsidRDefault="00BC3A9B" w14:paraId="1EA1BADC" w14:textId="77777777">
      <w:pPr>
        <w:pStyle w:val="ListParagraph"/>
        <w:rPr>
          <w:rFonts w:ascii="Times New Roman" w:hAnsi="Times New Roman" w:cs="Times New Roman"/>
          <w:lang w:val="en"/>
        </w:rPr>
      </w:pPr>
    </w:p>
    <w:p w:rsidRPr="00BC3A9B" w:rsidR="00360E32" w:rsidP="00BC3A9B" w:rsidRDefault="00247E18" w14:paraId="1471ED5C" w14:textId="0CDC7A1E">
      <w:pPr>
        <w:pStyle w:val="ListParagraph"/>
        <w:numPr>
          <w:ilvl w:val="0"/>
          <w:numId w:val="3"/>
        </w:numPr>
        <w:jc w:val="both"/>
        <w:rPr>
          <w:rFonts w:ascii="Times New Roman" w:hAnsi="Times New Roman" w:cs="Times New Roman"/>
        </w:rPr>
      </w:pPr>
      <w:r>
        <w:rPr>
          <w:rFonts w:ascii="Times New Roman" w:hAnsi="Times New Roman" w:cs="Times New Roman"/>
          <w:lang w:val="en"/>
        </w:rPr>
        <w:t>two main s</w:t>
      </w:r>
      <w:r w:rsidRPr="00BC3A9B" w:rsidR="00360E32">
        <w:rPr>
          <w:rFonts w:ascii="Times New Roman" w:hAnsi="Times New Roman" w:cs="Times New Roman"/>
          <w:lang w:val="en"/>
        </w:rPr>
        <w:t>tatistics</w:t>
      </w:r>
      <w:r w:rsidRPr="00BC3A9B">
        <w:rPr>
          <w:rFonts w:ascii="Times New Roman" w:hAnsi="Times New Roman" w:cs="Times New Roman"/>
          <w:lang w:val="en"/>
        </w:rPr>
        <w:t xml:space="preserve"> </w:t>
      </w:r>
      <w:r w:rsidRPr="005A5BBB">
        <w:rPr>
          <w:rStyle w:val="FootnoteReference"/>
          <w:rFonts w:ascii="Times New Roman" w:hAnsi="Times New Roman" w:cs="Times New Roman"/>
          <w:lang w:val="en"/>
        </w:rPr>
        <w:footnoteReference w:id="4"/>
      </w:r>
      <w:r>
        <w:rPr>
          <w:rFonts w:ascii="Times New Roman" w:hAnsi="Times New Roman" w:cs="Times New Roman"/>
          <w:lang w:val="en"/>
        </w:rPr>
        <w:t xml:space="preserve"> </w:t>
      </w:r>
      <w:r w:rsidR="00BC3A9B">
        <w:rPr>
          <w:rFonts w:ascii="Times New Roman" w:hAnsi="Times New Roman" w:cs="Times New Roman"/>
          <w:lang w:val="en"/>
        </w:rPr>
        <w:t>the low number of ELL students (</w:t>
      </w:r>
      <w:r w:rsidRPr="00BC3A9B" w:rsidR="00BC3A9B">
        <w:rPr>
          <w:rFonts w:ascii="Times New Roman" w:hAnsi="Times New Roman" w:cs="Times New Roman"/>
          <w:lang w:val="en"/>
        </w:rPr>
        <w:t xml:space="preserve">6.21% </w:t>
      </w:r>
      <w:r w:rsidR="00BC3A9B">
        <w:rPr>
          <w:rFonts w:ascii="Times New Roman" w:hAnsi="Times New Roman" w:cs="Times New Roman"/>
          <w:lang w:val="en"/>
        </w:rPr>
        <w:t>) who are in</w:t>
      </w:r>
      <w:r w:rsidRPr="00BC3A9B" w:rsidR="00360E32">
        <w:rPr>
          <w:rFonts w:ascii="Times New Roman" w:hAnsi="Times New Roman" w:cs="Times New Roman"/>
          <w:lang w:val="en"/>
        </w:rPr>
        <w:t xml:space="preserve"> bilingual programs; the disproportionately high rates of drop-outs among Spanish-speaking students (53%) and </w:t>
      </w:r>
      <w:r w:rsidR="00BC3A9B">
        <w:rPr>
          <w:rFonts w:ascii="Times New Roman" w:hAnsi="Times New Roman" w:cs="Times New Roman"/>
          <w:lang w:val="en"/>
        </w:rPr>
        <w:t>B</w:t>
      </w:r>
      <w:r w:rsidRPr="00BC3A9B" w:rsidR="00360E32">
        <w:rPr>
          <w:rFonts w:ascii="Times New Roman" w:hAnsi="Times New Roman" w:cs="Times New Roman"/>
          <w:lang w:val="en"/>
        </w:rPr>
        <w:t xml:space="preserve">lacks (28%) </w:t>
      </w:r>
      <w:r w:rsidR="00BC3A9B">
        <w:rPr>
          <w:rFonts w:ascii="Times New Roman" w:hAnsi="Times New Roman" w:cs="Times New Roman"/>
          <w:lang w:val="en"/>
        </w:rPr>
        <w:t xml:space="preserve"> where </w:t>
      </w:r>
      <w:r w:rsidRPr="00BC3A9B" w:rsidR="00360E32">
        <w:rPr>
          <w:rFonts w:ascii="Times New Roman" w:hAnsi="Times New Roman" w:cs="Times New Roman"/>
          <w:lang w:val="en"/>
        </w:rPr>
        <w:t>these rates are 7% among white students and 9% among Asian students. (Cohort of 2015).</w:t>
      </w:r>
    </w:p>
    <w:p w:rsidRPr="005A5BBB" w:rsidR="00360E32" w:rsidP="00360E32" w:rsidRDefault="00360E32" w14:paraId="71ABA70E" w14:textId="77777777">
      <w:pPr>
        <w:pStyle w:val="Heading1"/>
        <w:jc w:val="both"/>
        <w:rPr>
          <w:rFonts w:ascii="Times New Roman" w:hAnsi="Times New Roman" w:cs="Times New Roman"/>
          <w:b w:val="0"/>
          <w:bCs w:val="0"/>
          <w:color w:val="1F4E79"/>
          <w:lang w:val="fr-FR"/>
        </w:rPr>
      </w:pPr>
    </w:p>
    <w:p w:rsidR="00360E32" w:rsidP="768F6FA1" w:rsidRDefault="00360E32" w14:paraId="3CCEC57F" w14:textId="0109CBE2">
      <w:pPr>
        <w:pStyle w:val="Heading1"/>
        <w:ind w:firstLine="612"/>
        <w:jc w:val="both"/>
        <w:rPr>
          <w:rFonts w:ascii="Times New Roman" w:hAnsi="Times New Roman" w:cs="Times New Roman"/>
          <w:b w:val="0"/>
          <w:bCs w:val="0"/>
          <w:lang w:val="en"/>
        </w:rPr>
      </w:pPr>
      <w:r w:rsidRPr="768F6FA1" w:rsidR="768F6FA1">
        <w:rPr>
          <w:rFonts w:ascii="Times New Roman" w:hAnsi="Times New Roman" w:cs="Times New Roman"/>
          <w:b w:val="0"/>
          <w:bCs w:val="0"/>
          <w:lang w:val="en"/>
        </w:rPr>
        <w:t>The report argues that these trends could be reversed by giving students with a heritage language more opportunities to develop their academic language skills and their conference and writing levels thus to fulfill the promise of quality education for all by using their linguistic and cultural heritage as a capital and a springboard for their academic success. It is a call for of equity and equal access to rigorous academic programs for these students based on their linguistic and cultural heritage in order to maximize their personal investment in their academic careers.</w:t>
      </w:r>
    </w:p>
    <w:p w:rsidRPr="006972AC" w:rsidR="006972AC" w:rsidP="006972AC" w:rsidRDefault="006972AC" w14:paraId="13ACAA5F" w14:textId="77777777">
      <w:pPr>
        <w:pStyle w:val="Heading1"/>
        <w:jc w:val="both"/>
        <w:rPr>
          <w:rFonts w:ascii="Times New Roman" w:hAnsi="Times New Roman" w:cs="Times New Roman"/>
          <w:b w:val="0"/>
          <w:bCs w:val="0"/>
          <w:lang w:val="fr-FR"/>
        </w:rPr>
      </w:pPr>
    </w:p>
    <w:p w:rsidRPr="005A5BBB" w:rsidR="00360E32" w:rsidP="00360E32" w:rsidRDefault="00360E32" w14:paraId="637B7765" w14:textId="06444223">
      <w:pPr>
        <w:ind w:firstLine="360"/>
        <w:jc w:val="both"/>
        <w:rPr>
          <w:rFonts w:ascii="Times New Roman" w:hAnsi="Times New Roman" w:cs="Times New Roman"/>
        </w:rPr>
      </w:pPr>
      <w:r w:rsidRPr="005A5BBB">
        <w:rPr>
          <w:rFonts w:ascii="Times New Roman" w:hAnsi="Times New Roman" w:cs="Times New Roman"/>
          <w:lang w:val="en"/>
        </w:rPr>
        <w:t xml:space="preserve">The report is based on a relatively broad definition of the </w:t>
      </w:r>
      <w:r w:rsidRPr="005A5BBB" w:rsidR="005A5BBB">
        <w:rPr>
          <w:rFonts w:ascii="Times New Roman" w:hAnsi="Times New Roman" w:cs="Times New Roman"/>
          <w:lang w:val="en"/>
        </w:rPr>
        <w:t>heritage speakers</w:t>
      </w:r>
      <w:r w:rsidR="006972AC">
        <w:rPr>
          <w:rFonts w:ascii="Times New Roman" w:hAnsi="Times New Roman" w:cs="Times New Roman"/>
          <w:lang w:val="en"/>
        </w:rPr>
        <w:t xml:space="preserve"> and insist on the difference in needs between these learners and the L2 learners and did not forget the socio-emotional needs of the heritage learners. </w:t>
      </w:r>
    </w:p>
    <w:p w:rsidRPr="005A5BBB" w:rsidR="00360E32" w:rsidP="00360E32" w:rsidRDefault="00360E32" w14:paraId="12A04ADD" w14:textId="77777777">
      <w:pPr>
        <w:ind w:firstLine="720"/>
        <w:jc w:val="both"/>
        <w:rPr>
          <w:rFonts w:ascii="Times New Roman" w:hAnsi="Times New Roman" w:cs="Times New Roman"/>
        </w:rPr>
      </w:pPr>
      <w:r w:rsidRPr="005A5BBB">
        <w:rPr>
          <w:rFonts w:ascii="Times New Roman" w:hAnsi="Times New Roman" w:cs="Times New Roman"/>
          <w:lang w:val="en"/>
        </w:rPr>
        <w:t xml:space="preserve">1. Students with a complete oral command and a level of academic literacy in the native language </w:t>
      </w:r>
    </w:p>
    <w:p w:rsidRPr="005A5BBB" w:rsidR="00360E32" w:rsidP="00360E32" w:rsidRDefault="00360E32" w14:paraId="2A64CCB7" w14:textId="77777777">
      <w:pPr>
        <w:ind w:firstLine="720"/>
        <w:jc w:val="both"/>
        <w:rPr>
          <w:rFonts w:ascii="Times New Roman" w:hAnsi="Times New Roman" w:cs="Times New Roman"/>
        </w:rPr>
      </w:pPr>
      <w:r w:rsidRPr="005A5BBB">
        <w:rPr>
          <w:rFonts w:ascii="Times New Roman" w:hAnsi="Times New Roman" w:cs="Times New Roman"/>
          <w:lang w:val="en"/>
        </w:rPr>
        <w:t xml:space="preserve">2. Students who are fluent in their original language, but their written level and academic language are not developed </w:t>
      </w:r>
    </w:p>
    <w:p w:rsidR="00360E32" w:rsidP="00BC3A9B" w:rsidRDefault="00360E32" w14:paraId="780E4671" w14:textId="526C7984">
      <w:pPr>
        <w:ind w:firstLine="720"/>
        <w:jc w:val="both"/>
        <w:rPr>
          <w:rFonts w:ascii="Times New Roman" w:hAnsi="Times New Roman" w:cs="Times New Roman"/>
          <w:lang w:val="en"/>
        </w:rPr>
      </w:pPr>
      <w:r w:rsidRPr="005A5BBB">
        <w:rPr>
          <w:rFonts w:ascii="Times New Roman" w:hAnsi="Times New Roman" w:cs="Times New Roman"/>
          <w:lang w:val="en"/>
        </w:rPr>
        <w:t xml:space="preserve">3. Students who may speak their language of origin to a limited degree (e.g., second- and third-generation immigrants), but may not be able to express themselves fully, orally or in writing. </w:t>
      </w:r>
    </w:p>
    <w:p w:rsidRPr="005A5BBB" w:rsidR="00BC3A9B" w:rsidP="00360E32" w:rsidRDefault="00BC3A9B" w14:paraId="267EA6FB" w14:textId="77777777">
      <w:pPr>
        <w:ind w:firstLine="108"/>
        <w:jc w:val="both"/>
        <w:rPr>
          <w:rFonts w:ascii="Times New Roman" w:hAnsi="Times New Roman" w:cs="Times New Roman"/>
        </w:rPr>
      </w:pPr>
    </w:p>
    <w:p w:rsidR="005A5BBB" w:rsidP="00360E32" w:rsidRDefault="00360E32" w14:paraId="171DE07A" w14:textId="6210C82A">
      <w:pPr>
        <w:pStyle w:val="Heading1"/>
        <w:ind w:left="0" w:firstLine="720"/>
        <w:jc w:val="both"/>
        <w:rPr>
          <w:rFonts w:ascii="Times New Roman" w:hAnsi="Times New Roman" w:cs="Times New Roman"/>
          <w:b w:val="0"/>
          <w:bCs w:val="0"/>
          <w:lang w:val="en"/>
        </w:rPr>
      </w:pPr>
      <w:r w:rsidRPr="005A5BBB">
        <w:rPr>
          <w:rFonts w:ascii="Times New Roman" w:hAnsi="Times New Roman" w:cs="Times New Roman"/>
          <w:b w:val="0"/>
          <w:bCs w:val="0"/>
          <w:lang w:val="en"/>
        </w:rPr>
        <w:t xml:space="preserve">The report calls </w:t>
      </w:r>
      <w:r w:rsidRPr="005A5BBB" w:rsidR="005A5BBB">
        <w:rPr>
          <w:rFonts w:ascii="Times New Roman" w:hAnsi="Times New Roman" w:cs="Times New Roman"/>
          <w:b w:val="0"/>
          <w:bCs w:val="0"/>
          <w:lang w:val="en"/>
        </w:rPr>
        <w:t>on schools to use existing mechanisms to capitalize on the students’ linguistic assets t</w:t>
      </w:r>
      <w:r w:rsidRPr="005A5BBB">
        <w:rPr>
          <w:rFonts w:ascii="Times New Roman" w:hAnsi="Times New Roman" w:cs="Times New Roman"/>
          <w:b w:val="0"/>
          <w:bCs w:val="0"/>
          <w:lang w:val="en"/>
        </w:rPr>
        <w:t xml:space="preserve">o help them </w:t>
      </w:r>
      <w:r w:rsidRPr="005A5BBB" w:rsidR="005A5BBB">
        <w:rPr>
          <w:rFonts w:ascii="Times New Roman" w:hAnsi="Times New Roman" w:cs="Times New Roman"/>
          <w:b w:val="0"/>
          <w:bCs w:val="0"/>
          <w:lang w:val="en"/>
        </w:rPr>
        <w:t>graduate</w:t>
      </w:r>
      <w:r w:rsidRPr="005A5BBB">
        <w:rPr>
          <w:rFonts w:ascii="Times New Roman" w:hAnsi="Times New Roman" w:cs="Times New Roman"/>
          <w:b w:val="0"/>
          <w:bCs w:val="0"/>
          <w:lang w:val="en"/>
        </w:rPr>
        <w:t xml:space="preserve"> high school and give them access to rigorous courses</w:t>
      </w:r>
      <w:r w:rsidRPr="005A5BBB" w:rsidR="005A5BBB">
        <w:rPr>
          <w:rFonts w:ascii="Times New Roman" w:hAnsi="Times New Roman" w:cs="Times New Roman"/>
          <w:b w:val="0"/>
          <w:bCs w:val="0"/>
          <w:lang w:val="en"/>
        </w:rPr>
        <w:t xml:space="preserve">. </w:t>
      </w:r>
    </w:p>
    <w:p w:rsidRPr="005A5BBB" w:rsidR="006972AC" w:rsidP="00360E32" w:rsidRDefault="006972AC" w14:paraId="38DBE24D" w14:textId="77777777">
      <w:pPr>
        <w:pStyle w:val="Heading1"/>
        <w:ind w:left="0" w:firstLine="720"/>
        <w:jc w:val="both"/>
        <w:rPr>
          <w:rFonts w:ascii="Times New Roman" w:hAnsi="Times New Roman" w:cs="Times New Roman"/>
          <w:b w:val="0"/>
          <w:bCs w:val="0"/>
          <w:lang w:val="en"/>
        </w:rPr>
      </w:pPr>
    </w:p>
    <w:p w:rsidRPr="005A5BBB" w:rsidR="005A5BBB" w:rsidP="005A5BBB" w:rsidRDefault="00360E32" w14:paraId="26971E22" w14:textId="77777777">
      <w:pPr>
        <w:pStyle w:val="Heading1"/>
        <w:ind w:left="0" w:firstLine="720"/>
        <w:jc w:val="both"/>
        <w:rPr>
          <w:rFonts w:ascii="Times New Roman" w:hAnsi="Times New Roman" w:cs="Times New Roman"/>
          <w:b w:val="0"/>
          <w:bCs w:val="0"/>
          <w:lang w:val="en"/>
        </w:rPr>
      </w:pPr>
      <w:r w:rsidRPr="005A5BBB">
        <w:rPr>
          <w:rFonts w:ascii="Times New Roman" w:hAnsi="Times New Roman" w:cs="Times New Roman"/>
          <w:b w:val="0"/>
          <w:bCs w:val="0"/>
          <w:lang w:val="en"/>
        </w:rPr>
        <w:t xml:space="preserve"> </w:t>
      </w:r>
      <w:r w:rsidRPr="005A5BBB" w:rsidR="005A5BBB">
        <w:rPr>
          <w:rFonts w:ascii="Times New Roman" w:hAnsi="Times New Roman" w:cs="Times New Roman"/>
          <w:b w:val="0"/>
          <w:bCs w:val="0"/>
          <w:lang w:val="en"/>
        </w:rPr>
        <w:t>Among its</w:t>
      </w:r>
      <w:r w:rsidRPr="005A5BBB">
        <w:rPr>
          <w:rFonts w:ascii="Times New Roman" w:hAnsi="Times New Roman" w:cs="Times New Roman"/>
          <w:b w:val="0"/>
          <w:bCs w:val="0"/>
          <w:lang w:val="en"/>
        </w:rPr>
        <w:t xml:space="preserve"> recommendations</w:t>
      </w:r>
      <w:r w:rsidRPr="005A5BBB" w:rsidR="005A5BBB">
        <w:rPr>
          <w:rFonts w:ascii="Times New Roman" w:hAnsi="Times New Roman" w:cs="Times New Roman"/>
          <w:b w:val="0"/>
          <w:bCs w:val="0"/>
          <w:lang w:val="en"/>
        </w:rPr>
        <w:t>:</w:t>
      </w:r>
      <w:r w:rsidRPr="005A5BBB">
        <w:rPr>
          <w:rFonts w:ascii="Times New Roman" w:hAnsi="Times New Roman" w:cs="Times New Roman"/>
          <w:b w:val="0"/>
          <w:bCs w:val="0"/>
          <w:lang w:val="en"/>
        </w:rPr>
        <w:t xml:space="preserve"> </w:t>
      </w:r>
    </w:p>
    <w:p w:rsidRPr="005A5BBB" w:rsidR="005A5BBB" w:rsidP="005A5BBB" w:rsidRDefault="005A5BBB" w14:paraId="57214633" w14:textId="77777777">
      <w:pPr>
        <w:pStyle w:val="Heading1"/>
        <w:ind w:left="0" w:firstLine="720"/>
        <w:jc w:val="both"/>
        <w:rPr>
          <w:rFonts w:ascii="Times New Roman" w:hAnsi="Times New Roman" w:cs="Times New Roman"/>
          <w:b w:val="0"/>
          <w:bCs w:val="0"/>
          <w:lang w:val="en"/>
        </w:rPr>
      </w:pPr>
    </w:p>
    <w:p w:rsidRPr="005A5BBB" w:rsidR="00360E32" w:rsidP="006972AC" w:rsidRDefault="00360E32" w14:paraId="6E926A14" w14:textId="63D89F7B">
      <w:pPr>
        <w:pStyle w:val="Heading1"/>
        <w:numPr>
          <w:ilvl w:val="0"/>
          <w:numId w:val="1"/>
        </w:numPr>
        <w:jc w:val="both"/>
        <w:rPr>
          <w:rFonts w:ascii="Times New Roman" w:hAnsi="Times New Roman" w:cs="Times New Roman"/>
          <w:b w:val="0"/>
          <w:bCs w:val="0"/>
        </w:rPr>
      </w:pPr>
      <w:r w:rsidRPr="005A5BBB">
        <w:rPr>
          <w:rFonts w:ascii="Times New Roman" w:hAnsi="Times New Roman" w:cs="Times New Roman"/>
          <w:b w:val="0"/>
          <w:bCs w:val="0"/>
          <w:lang w:val="en"/>
        </w:rPr>
        <w:t xml:space="preserve">Create heritage language programs, not foreign language classes, with the objectives of maintaining the language, adding formal and professional registers to students' vocabulary and celebrating their linguistic and cultural heritage, acquiring and developing their general culture and appreciating their own culture. </w:t>
      </w:r>
    </w:p>
    <w:p w:rsidRPr="005A5BBB" w:rsidR="00360E32" w:rsidP="006972AC" w:rsidRDefault="00360E32" w14:paraId="01FC6B85" w14:textId="0E646878">
      <w:pPr>
        <w:pStyle w:val="Heading1"/>
        <w:numPr>
          <w:ilvl w:val="0"/>
          <w:numId w:val="1"/>
        </w:numPr>
        <w:tabs>
          <w:tab w:val="left" w:pos="810"/>
        </w:tabs>
        <w:jc w:val="both"/>
        <w:rPr>
          <w:rFonts w:ascii="Times New Roman" w:hAnsi="Times New Roman" w:cs="Times New Roman"/>
          <w:b w:val="0"/>
          <w:bCs w:val="0"/>
          <w:lang w:val="fr-FR"/>
        </w:rPr>
      </w:pPr>
      <w:r w:rsidRPr="005A5BBB">
        <w:rPr>
          <w:rFonts w:ascii="Times New Roman" w:hAnsi="Times New Roman" w:cs="Times New Roman"/>
          <w:b w:val="0"/>
          <w:bCs w:val="0"/>
          <w:lang w:val="en"/>
        </w:rPr>
        <w:t>Facilitate access to the "Comprehensive LOTE" exam (aligned with Checkpoint B) that students can take after a foreign language course. By passing this exam</w:t>
      </w:r>
      <w:r w:rsidRPr="005A5BBB" w:rsidR="005A5BBB">
        <w:rPr>
          <w:rFonts w:ascii="Times New Roman" w:hAnsi="Times New Roman" w:cs="Times New Roman"/>
          <w:b w:val="0"/>
          <w:bCs w:val="0"/>
          <w:lang w:val="en"/>
        </w:rPr>
        <w:t>, heritage</w:t>
      </w:r>
      <w:r w:rsidRPr="005A5BBB">
        <w:rPr>
          <w:rFonts w:ascii="Times New Roman" w:hAnsi="Times New Roman" w:cs="Times New Roman"/>
          <w:b w:val="0"/>
          <w:bCs w:val="0"/>
          <w:lang w:val="en"/>
        </w:rPr>
        <w:t xml:space="preserve"> students </w:t>
      </w:r>
      <w:r w:rsidRPr="005A5BBB" w:rsidR="005A5BBB">
        <w:rPr>
          <w:rFonts w:ascii="Times New Roman" w:hAnsi="Times New Roman" w:cs="Times New Roman"/>
          <w:b w:val="0"/>
          <w:bCs w:val="0"/>
          <w:lang w:val="en"/>
        </w:rPr>
        <w:t xml:space="preserve">can </w:t>
      </w:r>
      <w:r w:rsidRPr="005A5BBB">
        <w:rPr>
          <w:rFonts w:ascii="Times New Roman" w:hAnsi="Times New Roman" w:cs="Times New Roman"/>
          <w:b w:val="0"/>
          <w:bCs w:val="0"/>
          <w:lang w:val="en"/>
        </w:rPr>
        <w:t xml:space="preserve">meet one of the criteria required to finish high school. (cf. </w:t>
      </w:r>
      <w:hyperlink r:id="rId9">
        <w:r w:rsidRPr="005A5BBB">
          <w:rPr>
            <w:rFonts w:ascii="Times New Roman" w:hAnsi="Times New Roman" w:cs="Times New Roman"/>
            <w:b w:val="0"/>
            <w:bCs w:val="0"/>
            <w:lang w:val="en"/>
          </w:rPr>
          <w:t>1 Pathway to graduation</w:t>
        </w:r>
      </w:hyperlink>
      <w:r w:rsidRPr="005A5BBB">
        <w:rPr>
          <w:rFonts w:ascii="Times New Roman" w:hAnsi="Times New Roman" w:cs="Times New Roman"/>
          <w:b w:val="0"/>
          <w:bCs w:val="0"/>
          <w:lang w:val="en"/>
        </w:rPr>
        <w:t xml:space="preserve">) </w:t>
      </w:r>
    </w:p>
    <w:p w:rsidRPr="005A5BBB" w:rsidR="00360E32" w:rsidP="006972AC" w:rsidRDefault="00360E32" w14:paraId="4BB5704F" w14:textId="201F7391">
      <w:pPr>
        <w:pStyle w:val="ListParagraph"/>
        <w:widowControl w:val="0"/>
        <w:numPr>
          <w:ilvl w:val="0"/>
          <w:numId w:val="1"/>
        </w:numPr>
        <w:tabs>
          <w:tab w:val="left" w:pos="810"/>
        </w:tabs>
        <w:autoSpaceDE w:val="0"/>
        <w:autoSpaceDN w:val="0"/>
        <w:spacing w:before="116"/>
        <w:ind w:right="313"/>
        <w:jc w:val="both"/>
        <w:rPr>
          <w:rFonts w:ascii="Times New Roman" w:hAnsi="Times New Roman" w:cs="Times New Roman"/>
        </w:rPr>
      </w:pPr>
      <w:bookmarkStart w:name="Provide_ongoing_learning_opportunities_f" w:id="0"/>
      <w:bookmarkStart w:name="_bookmark7" w:id="1"/>
      <w:bookmarkEnd w:id="0"/>
      <w:bookmarkEnd w:id="1"/>
      <w:r w:rsidRPr="005A5BBB">
        <w:rPr>
          <w:rFonts w:ascii="Times New Roman" w:hAnsi="Times New Roman" w:cs="Times New Roman"/>
          <w:lang w:val="en"/>
        </w:rPr>
        <w:t>Offer students opportunities to take rigorous classes that allow them to present the New York State Seal</w:t>
      </w:r>
      <w:r w:rsidR="00BC3A9B">
        <w:rPr>
          <w:rFonts w:ascii="Times New Roman" w:hAnsi="Times New Roman" w:cs="Times New Roman"/>
          <w:lang w:val="en"/>
        </w:rPr>
        <w:t xml:space="preserve"> of </w:t>
      </w:r>
      <w:r w:rsidRPr="005A5BBB" w:rsidR="00BC3A9B">
        <w:rPr>
          <w:rFonts w:ascii="Times New Roman" w:hAnsi="Times New Roman" w:cs="Times New Roman"/>
          <w:lang w:val="en"/>
        </w:rPr>
        <w:t>Biliteracy</w:t>
      </w:r>
      <w:r w:rsidR="00BC3A9B">
        <w:rPr>
          <w:rFonts w:ascii="Times New Roman" w:hAnsi="Times New Roman" w:cs="Times New Roman"/>
          <w:lang w:val="en"/>
        </w:rPr>
        <w:t xml:space="preserve">. </w:t>
      </w:r>
    </w:p>
    <w:p w:rsidRPr="005A5BBB" w:rsidR="00360E32" w:rsidP="006972AC" w:rsidRDefault="00C135AF" w14:paraId="0AA259E0" w14:textId="5D735764">
      <w:pPr>
        <w:pStyle w:val="ListParagraph"/>
        <w:widowControl w:val="0"/>
        <w:numPr>
          <w:ilvl w:val="0"/>
          <w:numId w:val="1"/>
        </w:numPr>
        <w:tabs>
          <w:tab w:val="left" w:pos="810"/>
        </w:tabs>
        <w:autoSpaceDE w:val="0"/>
        <w:autoSpaceDN w:val="0"/>
        <w:spacing w:before="116"/>
        <w:ind w:right="313"/>
        <w:jc w:val="both"/>
        <w:rPr>
          <w:rFonts w:ascii="Times New Roman" w:hAnsi="Times New Roman" w:cs="Times New Roman"/>
        </w:rPr>
      </w:pPr>
      <w:r w:rsidRPr="005A5BBB">
        <w:rPr>
          <w:rFonts w:ascii="Times New Roman" w:hAnsi="Times New Roman" w:cs="Times New Roman"/>
          <w:lang w:val="en"/>
        </w:rPr>
        <w:t>Encourage students to take the AP exam and/or offer AP</w:t>
      </w:r>
      <w:r>
        <w:rPr>
          <w:rFonts w:ascii="Times New Roman" w:hAnsi="Times New Roman" w:cs="Times New Roman"/>
          <w:lang w:val="en"/>
        </w:rPr>
        <w:t xml:space="preserve"> </w:t>
      </w:r>
      <w:r w:rsidRPr="005A5BBB">
        <w:rPr>
          <w:rFonts w:ascii="Times New Roman" w:hAnsi="Times New Roman" w:cs="Times New Roman"/>
          <w:lang w:val="en"/>
        </w:rPr>
        <w:t xml:space="preserve">classes, especially for black and Hispanic students who have very little access to it, as part of </w:t>
      </w:r>
      <w:hyperlink w:history="1" r:id="rId12">
        <w:r w:rsidRPr="00247E18">
          <w:rPr>
            <w:rStyle w:val="Hyperlink"/>
            <w:rFonts w:ascii="Times New Roman" w:hAnsi="Times New Roman" w:cs="Times New Roman"/>
            <w:lang w:val="en"/>
          </w:rPr>
          <w:t>the AP for All initiative</w:t>
        </w:r>
      </w:hyperlink>
      <w:r w:rsidRPr="005A5BBB">
        <w:rPr>
          <w:rFonts w:ascii="Times New Roman" w:hAnsi="Times New Roman" w:cs="Times New Roman"/>
          <w:lang w:val="en"/>
        </w:rPr>
        <w:t xml:space="preserve"> to facilitate access to this exam for highly under-represented populations (Blacks and Hispanics).</w:t>
      </w:r>
      <w:r w:rsidRPr="005A5BBB">
        <w:rPr>
          <w:rStyle w:val="FootnoteReference"/>
          <w:rFonts w:ascii="Times New Roman" w:hAnsi="Times New Roman" w:cs="Times New Roman"/>
          <w:lang w:val="en"/>
        </w:rPr>
        <w:footnoteReference w:id="5"/>
      </w:r>
    </w:p>
    <w:p w:rsidRPr="006972AC" w:rsidR="00247E18" w:rsidP="006972AC" w:rsidRDefault="00360E32" w14:paraId="731B1A58" w14:textId="610E9335">
      <w:pPr>
        <w:pStyle w:val="ListParagraph"/>
        <w:widowControl w:val="0"/>
        <w:numPr>
          <w:ilvl w:val="0"/>
          <w:numId w:val="1"/>
        </w:numPr>
        <w:tabs>
          <w:tab w:val="left" w:pos="1333"/>
        </w:tabs>
        <w:autoSpaceDE w:val="0"/>
        <w:autoSpaceDN w:val="0"/>
        <w:spacing w:before="116"/>
        <w:ind w:right="313"/>
        <w:jc w:val="both"/>
        <w:rPr>
          <w:rFonts w:ascii="Times New Roman" w:hAnsi="Times New Roman" w:cs="Times New Roman"/>
        </w:rPr>
      </w:pPr>
      <w:r w:rsidRPr="005A5BBB">
        <w:rPr>
          <w:rFonts w:ascii="Times New Roman" w:hAnsi="Times New Roman" w:cs="Times New Roman"/>
          <w:lang w:val="en"/>
        </w:rPr>
        <w:t>Encourage them to complete a Capstone (CBP) project to prepare for the Seal</w:t>
      </w:r>
      <w:r w:rsidR="00247E18">
        <w:rPr>
          <w:rFonts w:ascii="Times New Roman" w:hAnsi="Times New Roman" w:cs="Times New Roman"/>
          <w:lang w:val="en"/>
        </w:rPr>
        <w:t xml:space="preserve">: </w:t>
      </w:r>
      <w:r w:rsidRPr="00247E18" w:rsidR="00247E18">
        <w:rPr>
          <w:rFonts w:ascii="Times New Roman" w:hAnsi="Times New Roman" w:cs="Times New Roman"/>
          <w:i/>
          <w:iCs/>
          <w:lang w:val="en"/>
        </w:rPr>
        <w:t xml:space="preserve">as </w:t>
      </w:r>
      <w:r w:rsidRPr="00247E18" w:rsidR="00247E18">
        <w:rPr>
          <w:i/>
          <w:iCs/>
          <w:sz w:val="23"/>
          <w:szCs w:val="23"/>
        </w:rPr>
        <w:t>a comprehensive advanced project that guides students to read, write, research, and discuss a global issue and sets them well on the path towards NYSSB, often asynchronously</w:t>
      </w:r>
      <w:r w:rsidR="006972AC">
        <w:rPr>
          <w:i/>
          <w:iCs/>
          <w:sz w:val="23"/>
          <w:szCs w:val="23"/>
        </w:rPr>
        <w:t xml:space="preserve">, </w:t>
      </w:r>
      <w:r w:rsidRPr="006972AC" w:rsidR="006972AC">
        <w:rPr>
          <w:sz w:val="23"/>
          <w:szCs w:val="23"/>
        </w:rPr>
        <w:t xml:space="preserve">it is </w:t>
      </w:r>
      <w:r w:rsidRPr="006972AC" w:rsidR="00C135AF">
        <w:rPr>
          <w:sz w:val="23"/>
          <w:szCs w:val="23"/>
        </w:rPr>
        <w:t>an</w:t>
      </w:r>
      <w:r w:rsidRPr="006972AC" w:rsidR="006972AC">
        <w:rPr>
          <w:sz w:val="23"/>
          <w:szCs w:val="23"/>
        </w:rPr>
        <w:t xml:space="preserve"> excellent way</w:t>
      </w:r>
      <w:r w:rsidR="006972AC">
        <w:rPr>
          <w:i/>
          <w:iCs/>
          <w:sz w:val="23"/>
          <w:szCs w:val="23"/>
        </w:rPr>
        <w:t xml:space="preserve"> to </w:t>
      </w:r>
      <w:r w:rsidRPr="005A5BBB" w:rsidR="006972AC">
        <w:rPr>
          <w:rFonts w:ascii="Times New Roman" w:hAnsi="Times New Roman" w:cs="Times New Roman"/>
          <w:lang w:val="en"/>
        </w:rPr>
        <w:t xml:space="preserve">teach students </w:t>
      </w:r>
      <w:r w:rsidR="006972AC">
        <w:rPr>
          <w:rFonts w:ascii="Times New Roman" w:hAnsi="Times New Roman" w:cs="Times New Roman"/>
          <w:lang w:val="en"/>
        </w:rPr>
        <w:t xml:space="preserve">how </w:t>
      </w:r>
      <w:r w:rsidRPr="005A5BBB" w:rsidR="006972AC">
        <w:rPr>
          <w:rFonts w:ascii="Times New Roman" w:hAnsi="Times New Roman" w:cs="Times New Roman"/>
          <w:lang w:val="en"/>
        </w:rPr>
        <w:t xml:space="preserve">to do research, read, write and debate on global topics. </w:t>
      </w:r>
    </w:p>
    <w:p w:rsidRPr="006972AC" w:rsidR="00360E32" w:rsidP="006972AC" w:rsidRDefault="00360E32" w14:paraId="7685E340" w14:textId="45C4BF21">
      <w:pPr>
        <w:pStyle w:val="ListParagraph"/>
        <w:widowControl w:val="0"/>
        <w:numPr>
          <w:ilvl w:val="0"/>
          <w:numId w:val="1"/>
        </w:numPr>
        <w:tabs>
          <w:tab w:val="left" w:pos="1333"/>
        </w:tabs>
        <w:autoSpaceDE w:val="0"/>
        <w:autoSpaceDN w:val="0"/>
        <w:spacing w:before="116"/>
        <w:ind w:right="313"/>
        <w:jc w:val="both"/>
        <w:rPr>
          <w:rFonts w:ascii="Times New Roman" w:hAnsi="Times New Roman" w:cs="Times New Roman"/>
        </w:rPr>
      </w:pPr>
      <w:r w:rsidRPr="006972AC">
        <w:rPr>
          <w:rFonts w:ascii="Times New Roman" w:hAnsi="Times New Roman" w:cs="Times New Roman"/>
          <w:lang w:val="en"/>
        </w:rPr>
        <w:t xml:space="preserve">Design all of these programs </w:t>
      </w:r>
      <w:r w:rsidRPr="006972AC" w:rsidR="00D008B6">
        <w:rPr>
          <w:rFonts w:ascii="Times New Roman" w:hAnsi="Times New Roman" w:cs="Times New Roman"/>
          <w:lang w:val="en"/>
        </w:rPr>
        <w:t xml:space="preserve">to build their </w:t>
      </w:r>
      <w:r w:rsidR="00D008B6">
        <w:rPr>
          <w:rFonts w:ascii="Times New Roman" w:hAnsi="Times New Roman" w:cs="Times New Roman"/>
          <w:lang w:val="en"/>
        </w:rPr>
        <w:t xml:space="preserve">literacy </w:t>
      </w:r>
      <w:r w:rsidRPr="006972AC" w:rsidR="00D008B6">
        <w:rPr>
          <w:rFonts w:ascii="Times New Roman" w:hAnsi="Times New Roman" w:cs="Times New Roman"/>
          <w:lang w:val="en"/>
        </w:rPr>
        <w:t>skills</w:t>
      </w:r>
      <w:r w:rsidR="00D008B6">
        <w:rPr>
          <w:rFonts w:ascii="Times New Roman" w:hAnsi="Times New Roman" w:cs="Times New Roman"/>
          <w:lang w:val="en"/>
        </w:rPr>
        <w:t>,</w:t>
      </w:r>
      <w:r w:rsidRPr="006972AC" w:rsidR="00D008B6">
        <w:rPr>
          <w:rFonts w:ascii="Times New Roman" w:hAnsi="Times New Roman" w:cs="Times New Roman"/>
          <w:lang w:val="en"/>
        </w:rPr>
        <w:t xml:space="preserve"> </w:t>
      </w:r>
      <w:r w:rsidRPr="006972AC">
        <w:rPr>
          <w:rFonts w:ascii="Times New Roman" w:hAnsi="Times New Roman" w:cs="Times New Roman"/>
          <w:lang w:val="en"/>
        </w:rPr>
        <w:t>with inclusion of the</w:t>
      </w:r>
      <w:r w:rsidRPr="006972AC" w:rsidR="00BC3A9B">
        <w:rPr>
          <w:rFonts w:ascii="Times New Roman" w:hAnsi="Times New Roman" w:cs="Times New Roman"/>
          <w:lang w:val="en"/>
        </w:rPr>
        <w:t>ir</w:t>
      </w:r>
      <w:r w:rsidRPr="006972AC">
        <w:rPr>
          <w:rFonts w:ascii="Times New Roman" w:hAnsi="Times New Roman" w:cs="Times New Roman"/>
          <w:lang w:val="en"/>
        </w:rPr>
        <w:t xml:space="preserve"> cultural heritage </w:t>
      </w:r>
      <w:r w:rsidRPr="006972AC" w:rsidR="00BC3A9B">
        <w:rPr>
          <w:rFonts w:ascii="Times New Roman" w:hAnsi="Times New Roman" w:cs="Times New Roman"/>
          <w:lang w:val="en"/>
        </w:rPr>
        <w:t xml:space="preserve">in mind </w:t>
      </w:r>
      <w:r w:rsidR="00D008B6">
        <w:rPr>
          <w:rFonts w:ascii="Times New Roman" w:hAnsi="Times New Roman" w:cs="Times New Roman"/>
          <w:lang w:val="en"/>
        </w:rPr>
        <w:t>,</w:t>
      </w:r>
      <w:r w:rsidRPr="006972AC">
        <w:rPr>
          <w:rFonts w:ascii="Times New Roman" w:hAnsi="Times New Roman" w:cs="Times New Roman"/>
          <w:lang w:val="en"/>
        </w:rPr>
        <w:t xml:space="preserve">as suggested in the "CR-SE </w:t>
      </w:r>
      <w:r w:rsidRPr="006972AC" w:rsidR="005A5BBB">
        <w:rPr>
          <w:rFonts w:ascii="Times New Roman" w:hAnsi="Times New Roman" w:cs="Times New Roman"/>
          <w:lang w:val="en"/>
        </w:rPr>
        <w:t>framework</w:t>
      </w:r>
      <w:r w:rsidRPr="006972AC">
        <w:rPr>
          <w:rFonts w:ascii="Times New Roman" w:hAnsi="Times New Roman" w:cs="Times New Roman"/>
          <w:lang w:val="en"/>
        </w:rPr>
        <w:t xml:space="preserve">", using </w:t>
      </w:r>
      <w:r w:rsidR="00D008B6">
        <w:rPr>
          <w:rFonts w:ascii="Times New Roman" w:hAnsi="Times New Roman" w:cs="Times New Roman"/>
          <w:lang w:val="en"/>
        </w:rPr>
        <w:t>a curriculum</w:t>
      </w:r>
      <w:r w:rsidRPr="006972AC">
        <w:rPr>
          <w:rFonts w:ascii="Times New Roman" w:hAnsi="Times New Roman" w:cs="Times New Roman"/>
          <w:lang w:val="en"/>
        </w:rPr>
        <w:t xml:space="preserve"> </w:t>
      </w:r>
      <w:r w:rsidR="00D008B6">
        <w:rPr>
          <w:rFonts w:ascii="Times New Roman" w:hAnsi="Times New Roman" w:cs="Times New Roman"/>
          <w:lang w:val="en"/>
        </w:rPr>
        <w:t>with many narratives and voices</w:t>
      </w:r>
      <w:bookmarkStart w:name="Consider_curricular_resources_with_a_cri" w:id="2"/>
      <w:bookmarkStart w:name="_bookmark9" w:id="3"/>
      <w:bookmarkEnd w:id="2"/>
      <w:bookmarkEnd w:id="3"/>
      <w:r w:rsidR="00D008B6">
        <w:rPr>
          <w:rFonts w:ascii="Times New Roman" w:hAnsi="Times New Roman" w:cs="Times New Roman"/>
          <w:lang w:val="en"/>
        </w:rPr>
        <w:t xml:space="preserve"> from the students’ backgrounds and cultures.</w:t>
      </w:r>
    </w:p>
    <w:p w:rsidRPr="005A5BBB" w:rsidR="00360E32" w:rsidP="006972AC" w:rsidRDefault="00360E32" w14:paraId="096C08B0" w14:textId="77777777" w14:noSpellErr="1">
      <w:pPr>
        <w:pStyle w:val="ListParagraph"/>
        <w:widowControl w:val="0"/>
        <w:numPr>
          <w:ilvl w:val="0"/>
          <w:numId w:val="1"/>
        </w:numPr>
        <w:tabs>
          <w:tab w:val="left" w:pos="1333"/>
        </w:tabs>
        <w:autoSpaceDE w:val="0"/>
        <w:autoSpaceDN w:val="0"/>
        <w:spacing w:before="116"/>
        <w:ind w:right="313"/>
        <w:jc w:val="both"/>
        <w:rPr>
          <w:rFonts w:ascii="Times New Roman" w:hAnsi="Times New Roman" w:cs="Times New Roman"/>
        </w:rPr>
      </w:pPr>
      <w:r w:rsidRPr="768F6FA1" w:rsidR="768F6FA1">
        <w:rPr>
          <w:rFonts w:ascii="Times New Roman" w:hAnsi="Times New Roman" w:cs="Times New Roman"/>
          <w:b w:val="1"/>
          <w:bCs w:val="1"/>
          <w:lang w:val="en"/>
        </w:rPr>
        <w:t>Find local cultural institutions to assist students in maintaining their heritage languages.</w:t>
      </w:r>
      <w:r w:rsidRPr="768F6FA1" w:rsidR="768F6FA1">
        <w:rPr>
          <w:rFonts w:ascii="Times New Roman" w:hAnsi="Times New Roman" w:cs="Times New Roman"/>
          <w:lang w:val="en"/>
        </w:rPr>
        <w:t xml:space="preserve"> </w:t>
      </w:r>
    </w:p>
    <w:p w:rsidRPr="00BC3A9B" w:rsidR="00360E32" w:rsidP="00BC3A9B" w:rsidRDefault="00360E32" w14:paraId="1095F3EC" w14:textId="77777777">
      <w:pPr>
        <w:widowControl w:val="0"/>
        <w:tabs>
          <w:tab w:val="left" w:pos="1333"/>
        </w:tabs>
        <w:autoSpaceDE w:val="0"/>
        <w:autoSpaceDN w:val="0"/>
        <w:spacing w:before="116"/>
        <w:ind w:left="1117" w:right="313"/>
        <w:jc w:val="both"/>
        <w:rPr>
          <w:rFonts w:ascii="Times New Roman" w:hAnsi="Times New Roman" w:cs="Times New Roman"/>
        </w:rPr>
      </w:pPr>
    </w:p>
    <w:p w:rsidRPr="000A453C" w:rsidR="00D008B6" w:rsidP="00360E32" w:rsidRDefault="006972AC" w14:paraId="5A18A233" w14:textId="148AE1CC">
      <w:pPr>
        <w:widowControl w:val="0"/>
        <w:tabs>
          <w:tab w:val="left" w:pos="1333"/>
        </w:tabs>
        <w:autoSpaceDE w:val="0"/>
        <w:autoSpaceDN w:val="0"/>
        <w:spacing w:before="116"/>
        <w:ind w:right="313"/>
        <w:jc w:val="both"/>
        <w:rPr>
          <w:rFonts w:ascii="Times New Roman" w:hAnsi="Times New Roman" w:cs="Times New Roman"/>
          <w:lang w:val="en"/>
        </w:rPr>
      </w:pPr>
      <w:r>
        <w:rPr>
          <w:rFonts w:ascii="Times New Roman" w:hAnsi="Times New Roman" w:cs="Times New Roman"/>
          <w:lang w:val="en"/>
        </w:rPr>
        <w:tab/>
      </w:r>
      <w:r w:rsidRPr="005A5BBB" w:rsidR="00360E32">
        <w:rPr>
          <w:rFonts w:ascii="Times New Roman" w:hAnsi="Times New Roman" w:cs="Times New Roman"/>
          <w:lang w:val="en"/>
        </w:rPr>
        <w:t xml:space="preserve">All these recommendations reaffirm </w:t>
      </w:r>
      <w:r w:rsidR="00BC3A9B">
        <w:rPr>
          <w:rFonts w:ascii="Times New Roman" w:hAnsi="Times New Roman" w:cs="Times New Roman"/>
          <w:lang w:val="en"/>
        </w:rPr>
        <w:t xml:space="preserve">the </w:t>
      </w:r>
      <w:r w:rsidRPr="005A5BBB" w:rsidR="005A5BBB">
        <w:rPr>
          <w:rFonts w:ascii="Times New Roman" w:hAnsi="Times New Roman" w:cs="Times New Roman"/>
          <w:lang w:val="en"/>
        </w:rPr>
        <w:t xml:space="preserve">work </w:t>
      </w:r>
      <w:r w:rsidR="00BC3A9B">
        <w:rPr>
          <w:rFonts w:ascii="Times New Roman" w:hAnsi="Times New Roman" w:cs="Times New Roman"/>
          <w:lang w:val="en"/>
        </w:rPr>
        <w:t xml:space="preserve">we are doing </w:t>
      </w:r>
      <w:r w:rsidRPr="005A5BBB" w:rsidR="005A5BBB">
        <w:rPr>
          <w:rFonts w:ascii="Times New Roman" w:hAnsi="Times New Roman" w:cs="Times New Roman"/>
          <w:lang w:val="en"/>
        </w:rPr>
        <w:t>in community schools</w:t>
      </w:r>
      <w:r w:rsidR="00BC3A9B">
        <w:rPr>
          <w:rFonts w:ascii="Times New Roman" w:hAnsi="Times New Roman" w:cs="Times New Roman"/>
          <w:lang w:val="en"/>
        </w:rPr>
        <w:t xml:space="preserve"> and</w:t>
      </w:r>
      <w:r w:rsidRPr="005A5BBB" w:rsidR="00360E32">
        <w:rPr>
          <w:rFonts w:ascii="Times New Roman" w:hAnsi="Times New Roman" w:cs="Times New Roman"/>
          <w:lang w:val="en"/>
        </w:rPr>
        <w:t xml:space="preserve"> confirm</w:t>
      </w:r>
      <w:r w:rsidR="00BC3A9B">
        <w:rPr>
          <w:rFonts w:ascii="Times New Roman" w:hAnsi="Times New Roman" w:cs="Times New Roman"/>
          <w:lang w:val="en"/>
        </w:rPr>
        <w:t xml:space="preserve"> its </w:t>
      </w:r>
      <w:r w:rsidRPr="005A5BBB" w:rsidR="00360E32">
        <w:rPr>
          <w:rFonts w:ascii="Times New Roman" w:hAnsi="Times New Roman" w:cs="Times New Roman"/>
          <w:lang w:val="en"/>
        </w:rPr>
        <w:t>relevance</w:t>
      </w:r>
      <w:r w:rsidR="00BC3A9B">
        <w:rPr>
          <w:rFonts w:ascii="Times New Roman" w:hAnsi="Times New Roman" w:cs="Times New Roman"/>
          <w:lang w:val="en"/>
        </w:rPr>
        <w:t xml:space="preserve">; the space we are creating for heritage speakers is often the only one (except their families) where their </w:t>
      </w:r>
      <w:r w:rsidRPr="005A5BBB" w:rsidR="005A5BBB">
        <w:rPr>
          <w:rFonts w:ascii="Times New Roman" w:hAnsi="Times New Roman" w:cs="Times New Roman"/>
          <w:lang w:val="en"/>
        </w:rPr>
        <w:t>linguistic and cultural asset</w:t>
      </w:r>
      <w:r w:rsidR="00BC3A9B">
        <w:rPr>
          <w:rFonts w:ascii="Times New Roman" w:hAnsi="Times New Roman" w:cs="Times New Roman"/>
          <w:lang w:val="en"/>
        </w:rPr>
        <w:t>s</w:t>
      </w:r>
      <w:r w:rsidRPr="005A5BBB" w:rsidR="005A5BBB">
        <w:rPr>
          <w:rFonts w:ascii="Times New Roman" w:hAnsi="Times New Roman" w:cs="Times New Roman"/>
          <w:lang w:val="en"/>
        </w:rPr>
        <w:t>.</w:t>
      </w:r>
      <w:r w:rsidR="00BC3A9B">
        <w:rPr>
          <w:rFonts w:ascii="Times New Roman" w:hAnsi="Times New Roman" w:cs="Times New Roman"/>
          <w:lang w:val="en"/>
        </w:rPr>
        <w:t xml:space="preserve"> Most of the times, they have to leave part of who they are outside of the classrooms: how is that for equity?</w:t>
      </w:r>
    </w:p>
    <w:p w:rsidRPr="005A5BBB" w:rsidR="00360E32" w:rsidP="00360E32" w:rsidRDefault="00360E32" w14:paraId="3C14A065" w14:textId="75B72D0C">
      <w:pPr>
        <w:widowControl w:val="0"/>
        <w:tabs>
          <w:tab w:val="left" w:pos="1333"/>
        </w:tabs>
        <w:autoSpaceDE w:val="0"/>
        <w:autoSpaceDN w:val="0"/>
        <w:spacing w:before="116"/>
        <w:ind w:right="313"/>
        <w:jc w:val="both"/>
        <w:rPr>
          <w:rFonts w:ascii="Times New Roman" w:hAnsi="Times New Roman" w:cs="Times New Roman"/>
        </w:rPr>
      </w:pPr>
      <w:r w:rsidRPr="005A5BBB">
        <w:rPr>
          <w:rFonts w:ascii="Times New Roman" w:hAnsi="Times New Roman" w:cs="Times New Roman"/>
          <w:lang w:val="en"/>
        </w:rPr>
        <w:tab/>
      </w:r>
      <w:r w:rsidR="00BC3A9B">
        <w:rPr>
          <w:rFonts w:ascii="Times New Roman" w:hAnsi="Times New Roman" w:cs="Times New Roman"/>
          <w:lang w:val="en"/>
        </w:rPr>
        <w:t>This</w:t>
      </w:r>
      <w:r w:rsidRPr="005A5BBB">
        <w:rPr>
          <w:rFonts w:ascii="Times New Roman" w:hAnsi="Times New Roman" w:cs="Times New Roman"/>
          <w:lang w:val="en"/>
        </w:rPr>
        <w:t xml:space="preserve"> report </w:t>
      </w:r>
      <w:r w:rsidR="00BC3A9B">
        <w:rPr>
          <w:rFonts w:ascii="Times New Roman" w:hAnsi="Times New Roman" w:cs="Times New Roman"/>
          <w:lang w:val="en"/>
        </w:rPr>
        <w:t xml:space="preserve">calls for </w:t>
      </w:r>
      <w:r w:rsidRPr="005A5BBB">
        <w:rPr>
          <w:rFonts w:ascii="Times New Roman" w:hAnsi="Times New Roman" w:cs="Times New Roman"/>
          <w:lang w:val="en"/>
        </w:rPr>
        <w:t xml:space="preserve">an approach in terms of </w:t>
      </w:r>
      <w:r w:rsidRPr="005A5BBB" w:rsidR="008E0F74">
        <w:rPr>
          <w:rFonts w:ascii="Times New Roman" w:hAnsi="Times New Roman" w:cs="Times New Roman"/>
          <w:lang w:val="en"/>
        </w:rPr>
        <w:t xml:space="preserve">asset </w:t>
      </w:r>
      <w:r w:rsidRPr="005A5BBB">
        <w:rPr>
          <w:rFonts w:ascii="Times New Roman" w:hAnsi="Times New Roman" w:cs="Times New Roman"/>
          <w:lang w:val="en"/>
        </w:rPr>
        <w:t xml:space="preserve">and not deficit that emphasizes the linguistic and cultural heritage of </w:t>
      </w:r>
      <w:r w:rsidRPr="005A5BBB" w:rsidR="008E0F74">
        <w:rPr>
          <w:rFonts w:ascii="Times New Roman" w:hAnsi="Times New Roman" w:cs="Times New Roman"/>
          <w:lang w:val="en"/>
        </w:rPr>
        <w:t>our students</w:t>
      </w:r>
      <w:r w:rsidRPr="005A5BBB">
        <w:rPr>
          <w:rFonts w:ascii="Times New Roman" w:hAnsi="Times New Roman" w:cs="Times New Roman"/>
          <w:lang w:val="en"/>
        </w:rPr>
        <w:t xml:space="preserve"> and relies on this capital to offer them quality educational and cultural programs, which celebrate their cultures and prepare them for a professional future and a successful integration into American society.</w:t>
      </w:r>
      <w:r w:rsidR="00247E18">
        <w:rPr>
          <w:rFonts w:ascii="Times New Roman" w:hAnsi="Times New Roman" w:cs="Times New Roman"/>
          <w:lang w:val="en"/>
        </w:rPr>
        <w:t xml:space="preserve"> This is </w:t>
      </w:r>
      <w:r w:rsidR="00D008B6">
        <w:rPr>
          <w:rFonts w:ascii="Times New Roman" w:hAnsi="Times New Roman" w:cs="Times New Roman"/>
          <w:lang w:val="en"/>
        </w:rPr>
        <w:t>what we do every day</w:t>
      </w:r>
      <w:r w:rsidR="00247E18">
        <w:rPr>
          <w:rFonts w:ascii="Times New Roman" w:hAnsi="Times New Roman" w:cs="Times New Roman"/>
        </w:rPr>
        <w:t xml:space="preserve"> and we are </w:t>
      </w:r>
      <w:r w:rsidRPr="005A5BBB" w:rsidR="005A5BBB">
        <w:rPr>
          <w:rFonts w:ascii="Times New Roman" w:hAnsi="Times New Roman" w:cs="Times New Roman"/>
          <w:lang w:val="en"/>
        </w:rPr>
        <w:t>the</w:t>
      </w:r>
      <w:r w:rsidRPr="005A5BBB">
        <w:rPr>
          <w:rFonts w:ascii="Times New Roman" w:hAnsi="Times New Roman" w:cs="Times New Roman"/>
          <w:lang w:val="en"/>
        </w:rPr>
        <w:t xml:space="preserve"> </w:t>
      </w:r>
      <w:r w:rsidRPr="00D008B6">
        <w:rPr>
          <w:rFonts w:ascii="Times New Roman" w:hAnsi="Times New Roman" w:cs="Times New Roman"/>
          <w:i/>
          <w:iCs/>
          <w:lang w:val="en"/>
        </w:rPr>
        <w:t>"local cultural institution</w:t>
      </w:r>
      <w:r w:rsidRPr="00D008B6" w:rsidR="005A5BBB">
        <w:rPr>
          <w:rFonts w:ascii="Times New Roman" w:hAnsi="Times New Roman" w:cs="Times New Roman"/>
          <w:i/>
          <w:iCs/>
          <w:lang w:val="en"/>
        </w:rPr>
        <w:t>s</w:t>
      </w:r>
      <w:r w:rsidRPr="005A5BBB">
        <w:rPr>
          <w:rFonts w:ascii="Times New Roman" w:hAnsi="Times New Roman" w:cs="Times New Roman"/>
          <w:lang w:val="en"/>
        </w:rPr>
        <w:t>" with which the DOE invites schools to collaborate to help students maintain their</w:t>
      </w:r>
      <w:r w:rsidRPr="005A5BBB" w:rsidR="005A5BBB">
        <w:rPr>
          <w:rFonts w:ascii="Times New Roman" w:hAnsi="Times New Roman" w:cs="Times New Roman"/>
          <w:lang w:val="en"/>
        </w:rPr>
        <w:t xml:space="preserve"> heritage language</w:t>
      </w:r>
      <w:r w:rsidR="00D008B6">
        <w:rPr>
          <w:rFonts w:ascii="Times New Roman" w:hAnsi="Times New Roman" w:cs="Times New Roman"/>
          <w:lang w:val="en"/>
        </w:rPr>
        <w:t>, when they don’t have the resources to create Heritage Language classes.</w:t>
      </w:r>
    </w:p>
    <w:p w:rsidR="00360E32" w:rsidRDefault="00360E32" w14:paraId="46E6CF22" w14:textId="0DE54917">
      <w:pPr>
        <w:rPr>
          <w:rFonts w:ascii="Times New Roman" w:hAnsi="Times New Roman" w:cs="Times New Roman"/>
        </w:rPr>
      </w:pPr>
    </w:p>
    <w:p w:rsidR="00703160" w:rsidRDefault="00703160" w14:paraId="3031B480" w14:textId="7DE64E5D">
      <w:pPr>
        <w:rPr>
          <w:rFonts w:ascii="Times New Roman" w:hAnsi="Times New Roman" w:cs="Times New Roman"/>
        </w:rPr>
      </w:pPr>
    </w:p>
    <w:p w:rsidR="00703160" w:rsidRDefault="00703160" w14:paraId="07594B03" w14:textId="079F6412">
      <w:pPr>
        <w:rPr>
          <w:rFonts w:ascii="Times New Roman" w:hAnsi="Times New Roman" w:cs="Times New Roman"/>
        </w:rPr>
      </w:pPr>
    </w:p>
    <w:p w:rsidR="00703160" w:rsidRDefault="00703160" w14:paraId="08CEBFF0" w14:textId="7EA612E8">
      <w:pPr>
        <w:rPr>
          <w:rFonts w:ascii="Times New Roman" w:hAnsi="Times New Roman" w:cs="Times New Roman"/>
        </w:rPr>
      </w:pPr>
    </w:p>
    <w:p w:rsidR="00703160" w:rsidRDefault="00703160" w14:paraId="44303B60" w14:textId="5737C4DB">
      <w:pPr>
        <w:rPr>
          <w:rFonts w:ascii="Times New Roman" w:hAnsi="Times New Roman" w:cs="Times New Roman"/>
        </w:rPr>
      </w:pPr>
      <w:r>
        <w:rPr>
          <w:rFonts w:ascii="Times New Roman" w:hAnsi="Times New Roman" w:cs="Times New Roman"/>
        </w:rPr>
        <w:t>SOURCES</w:t>
      </w:r>
    </w:p>
    <w:p w:rsidR="00703160" w:rsidRDefault="00703160" w14:paraId="1187E5D8" w14:textId="04EC14B5">
      <w:pPr>
        <w:rPr>
          <w:rFonts w:ascii="Times New Roman" w:hAnsi="Times New Roman" w:cs="Times New Roman"/>
        </w:rPr>
      </w:pPr>
      <w:r>
        <w:rPr>
          <w:rFonts w:ascii="Times New Roman" w:hAnsi="Times New Roman" w:cs="Times New Roman"/>
        </w:rPr>
        <w:t>DOC</w:t>
      </w:r>
    </w:p>
    <w:p w:rsidR="00703160" w:rsidP="00703160" w:rsidRDefault="00703160" w14:paraId="2E1602BC" w14:textId="5E683A02">
      <w:pPr>
        <w:pStyle w:val="BodyText"/>
        <w:kinsoku w:val="0"/>
        <w:overflowPunct w:val="0"/>
        <w:ind w:left="103"/>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38786A95" wp14:editId="585F9705">
                <wp:extent cx="6451600" cy="2658533"/>
                <wp:effectExtent l="0" t="0" r="0"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0" cy="2658533"/>
                          <a:chOff x="0" y="0"/>
                          <a:chExt cx="9917" cy="2810"/>
                        </a:xfrm>
                      </wpg:grpSpPr>
                      <wps:wsp>
                        <wps:cNvPr id="3" name="Freeform 3"/>
                        <wps:cNvSpPr>
                          <a:spLocks/>
                        </wps:cNvSpPr>
                        <wps:spPr bwMode="auto">
                          <a:xfrm>
                            <a:off x="0" y="0"/>
                            <a:ext cx="9907" cy="2810"/>
                          </a:xfrm>
                          <a:custGeom>
                            <a:avLst/>
                            <a:gdLst>
                              <a:gd name="T0" fmla="*/ 0 w 9907"/>
                              <a:gd name="T1" fmla="*/ 2809 h 2810"/>
                              <a:gd name="T2" fmla="*/ 0 w 9907"/>
                              <a:gd name="T3" fmla="*/ 0 h 2810"/>
                              <a:gd name="T4" fmla="*/ 9906 w 9907"/>
                              <a:gd name="T5" fmla="*/ 0 h 2810"/>
                              <a:gd name="T6" fmla="*/ 9906 w 9907"/>
                              <a:gd name="T7" fmla="*/ 0 h 2810"/>
                              <a:gd name="T8" fmla="*/ 9906 w 9907"/>
                              <a:gd name="T9" fmla="*/ 2809 h 2810"/>
                              <a:gd name="T10" fmla="*/ 9906 w 9907"/>
                              <a:gd name="T11" fmla="*/ 2809 h 2810"/>
                              <a:gd name="T12" fmla="*/ 0 w 9907"/>
                              <a:gd name="T13" fmla="*/ 2809 h 2810"/>
                            </a:gdLst>
                            <a:ahLst/>
                            <a:cxnLst>
                              <a:cxn ang="0">
                                <a:pos x="T0" y="T1"/>
                              </a:cxn>
                              <a:cxn ang="0">
                                <a:pos x="T2" y="T3"/>
                              </a:cxn>
                              <a:cxn ang="0">
                                <a:pos x="T4" y="T5"/>
                              </a:cxn>
                              <a:cxn ang="0">
                                <a:pos x="T6" y="T7"/>
                              </a:cxn>
                              <a:cxn ang="0">
                                <a:pos x="T8" y="T9"/>
                              </a:cxn>
                              <a:cxn ang="0">
                                <a:pos x="T10" y="T11"/>
                              </a:cxn>
                              <a:cxn ang="0">
                                <a:pos x="T12" y="T13"/>
                              </a:cxn>
                            </a:cxnLst>
                            <a:rect l="0" t="0" r="r" b="b"/>
                            <a:pathLst>
                              <a:path w="9907" h="2810">
                                <a:moveTo>
                                  <a:pt x="0" y="2809"/>
                                </a:moveTo>
                                <a:lnTo>
                                  <a:pt x="0" y="0"/>
                                </a:lnTo>
                                <a:lnTo>
                                  <a:pt x="9906" y="0"/>
                                </a:lnTo>
                                <a:lnTo>
                                  <a:pt x="9906" y="0"/>
                                </a:lnTo>
                                <a:lnTo>
                                  <a:pt x="9906" y="2809"/>
                                </a:lnTo>
                                <a:lnTo>
                                  <a:pt x="9906" y="2809"/>
                                </a:lnTo>
                                <a:lnTo>
                                  <a:pt x="0" y="28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9906" y="0"/>
                            <a:ext cx="20" cy="2810"/>
                          </a:xfrm>
                          <a:custGeom>
                            <a:avLst/>
                            <a:gdLst>
                              <a:gd name="T0" fmla="*/ 0 w 20"/>
                              <a:gd name="T1" fmla="*/ 0 h 2810"/>
                              <a:gd name="T2" fmla="*/ 0 w 20"/>
                              <a:gd name="T3" fmla="*/ 2809 h 2810"/>
                            </a:gdLst>
                            <a:ahLst/>
                            <a:cxnLst>
                              <a:cxn ang="0">
                                <a:pos x="T0" y="T1"/>
                              </a:cxn>
                              <a:cxn ang="0">
                                <a:pos x="T2" y="T3"/>
                              </a:cxn>
                            </a:cxnLst>
                            <a:rect l="0" t="0" r="r" b="b"/>
                            <a:pathLst>
                              <a:path w="20" h="2810">
                                <a:moveTo>
                                  <a:pt x="0" y="0"/>
                                </a:moveTo>
                                <a:lnTo>
                                  <a:pt x="0" y="2809"/>
                                </a:lnTo>
                              </a:path>
                            </a:pathLst>
                          </a:custGeom>
                          <a:noFill/>
                          <a:ln w="127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0" y="0"/>
                            <a:ext cx="9917" cy="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160" w:rsidP="00703160" w:rsidRDefault="00703160" w14:paraId="61C57F63" w14:textId="77777777">
                              <w:pPr>
                                <w:pStyle w:val="BodyText"/>
                                <w:kinsoku w:val="0"/>
                                <w:overflowPunct w:val="0"/>
                                <w:spacing w:before="49"/>
                                <w:ind w:left="4193" w:right="4247"/>
                                <w:jc w:val="center"/>
                                <w:rPr>
                                  <w:rFonts w:ascii="Times New Roman" w:hAnsi="Times New Roman" w:cs="Times New Roman"/>
                                  <w:b w:val="0"/>
                                  <w:bCs w:val="0"/>
                                  <w:w w:val="110"/>
                                  <w:sz w:val="28"/>
                                  <w:szCs w:val="28"/>
                                </w:rPr>
                              </w:pPr>
                              <w:r>
                                <w:rPr>
                                  <w:rFonts w:ascii="Times New Roman" w:hAnsi="Times New Roman" w:cs="Times New Roman"/>
                                  <w:b w:val="0"/>
                                  <w:bCs w:val="0"/>
                                  <w:w w:val="110"/>
                                  <w:sz w:val="28"/>
                                  <w:szCs w:val="28"/>
                                </w:rPr>
                                <w:t>References</w:t>
                              </w:r>
                            </w:p>
                            <w:p w:rsidR="00703160" w:rsidP="00703160" w:rsidRDefault="00703160" w14:paraId="70B4E9E1" w14:textId="77777777">
                              <w:pPr>
                                <w:pStyle w:val="BodyText"/>
                                <w:kinsoku w:val="0"/>
                                <w:overflowPunct w:val="0"/>
                                <w:spacing w:before="193"/>
                                <w:ind w:left="106"/>
                                <w:rPr>
                                  <w:rFonts w:ascii="Times New Roman" w:hAnsi="Times New Roman" w:cs="Times New Roman"/>
                                  <w:color w:val="222222"/>
                                  <w:w w:val="115"/>
                                  <w:sz w:val="14"/>
                                  <w:szCs w:val="14"/>
                                </w:rPr>
                              </w:pPr>
                              <w:r>
                                <w:rPr>
                                  <w:rFonts w:ascii="Times New Roman" w:hAnsi="Times New Roman" w:cs="Times New Roman"/>
                                  <w:color w:val="222222"/>
                                  <w:w w:val="115"/>
                                  <w:sz w:val="14"/>
                                  <w:szCs w:val="14"/>
                                </w:rPr>
                                <w:t xml:space="preserve">Davin, K. J., &amp; </w:t>
                              </w:r>
                              <w:proofErr w:type="spellStart"/>
                              <w:r>
                                <w:rPr>
                                  <w:rFonts w:ascii="Times New Roman" w:hAnsi="Times New Roman" w:cs="Times New Roman"/>
                                  <w:color w:val="222222"/>
                                  <w:w w:val="115"/>
                                  <w:sz w:val="14"/>
                                  <w:szCs w:val="14"/>
                                </w:rPr>
                                <w:t>Heineke</w:t>
                              </w:r>
                              <w:proofErr w:type="spellEnd"/>
                              <w:r>
                                <w:rPr>
                                  <w:rFonts w:ascii="Times New Roman" w:hAnsi="Times New Roman" w:cs="Times New Roman"/>
                                  <w:color w:val="222222"/>
                                  <w:w w:val="115"/>
                                  <w:sz w:val="14"/>
                                  <w:szCs w:val="14"/>
                                </w:rPr>
                                <w:t xml:space="preserve">, A. J. (2017). The Seal of Biliteracy: Variations in policy and outcomes. </w:t>
                              </w:r>
                              <w:r>
                                <w:rPr>
                                  <w:rFonts w:ascii="Times New Roman" w:hAnsi="Times New Roman" w:cs="Times New Roman"/>
                                  <w:i/>
                                  <w:iCs/>
                                  <w:color w:val="222222"/>
                                  <w:w w:val="115"/>
                                  <w:sz w:val="14"/>
                                  <w:szCs w:val="14"/>
                                </w:rPr>
                                <w:t>Foreign Language Annals</w:t>
                              </w:r>
                              <w:r>
                                <w:rPr>
                                  <w:rFonts w:ascii="Times New Roman" w:hAnsi="Times New Roman" w:cs="Times New Roman"/>
                                  <w:color w:val="222222"/>
                                  <w:w w:val="115"/>
                                  <w:sz w:val="14"/>
                                  <w:szCs w:val="14"/>
                                </w:rPr>
                                <w:t xml:space="preserve">, </w:t>
                              </w:r>
                              <w:r>
                                <w:rPr>
                                  <w:rFonts w:ascii="Times New Roman" w:hAnsi="Times New Roman" w:cs="Times New Roman"/>
                                  <w:i/>
                                  <w:iCs/>
                                  <w:color w:val="222222"/>
                                  <w:w w:val="115"/>
                                  <w:sz w:val="14"/>
                                  <w:szCs w:val="14"/>
                                </w:rPr>
                                <w:t>50</w:t>
                              </w:r>
                              <w:r>
                                <w:rPr>
                                  <w:rFonts w:ascii="Times New Roman" w:hAnsi="Times New Roman" w:cs="Times New Roman"/>
                                  <w:color w:val="222222"/>
                                  <w:w w:val="115"/>
                                  <w:sz w:val="14"/>
                                  <w:szCs w:val="14"/>
                                </w:rPr>
                                <w:t>(3), 486-499.</w:t>
                              </w:r>
                            </w:p>
                            <w:p w:rsidR="00703160" w:rsidP="00703160" w:rsidRDefault="00703160" w14:paraId="677D52AC" w14:textId="77777777">
                              <w:pPr>
                                <w:pStyle w:val="BodyText"/>
                                <w:kinsoku w:val="0"/>
                                <w:overflowPunct w:val="0"/>
                                <w:spacing w:before="10"/>
                                <w:rPr>
                                  <w:rFonts w:ascii="Times New Roman" w:hAnsi="Times New Roman" w:cs="Times New Roman"/>
                                  <w:sz w:val="13"/>
                                  <w:szCs w:val="13"/>
                                </w:rPr>
                              </w:pPr>
                            </w:p>
                            <w:p w:rsidR="00703160" w:rsidP="00703160" w:rsidRDefault="00703160" w14:paraId="4DD98D17" w14:textId="77777777">
                              <w:pPr>
                                <w:pStyle w:val="BodyText"/>
                                <w:kinsoku w:val="0"/>
                                <w:overflowPunct w:val="0"/>
                                <w:spacing w:before="1" w:line="264" w:lineRule="auto"/>
                                <w:ind w:left="106" w:right="475"/>
                                <w:rPr>
                                  <w:rFonts w:ascii="Times New Roman" w:hAnsi="Times New Roman" w:cs="Times New Roman"/>
                                  <w:color w:val="000000"/>
                                  <w:w w:val="120"/>
                                  <w:sz w:val="14"/>
                                  <w:szCs w:val="14"/>
                                </w:rPr>
                              </w:pPr>
                              <w:r>
                                <w:rPr>
                                  <w:rFonts w:ascii="Times New Roman" w:hAnsi="Times New Roman" w:cs="Times New Roman"/>
                                  <w:color w:val="222222"/>
                                  <w:w w:val="120"/>
                                  <w:sz w:val="14"/>
                                  <w:szCs w:val="14"/>
                                </w:rPr>
                                <w:t xml:space="preserve">Davin, K. J., </w:t>
                              </w:r>
                              <w:proofErr w:type="spellStart"/>
                              <w:r>
                                <w:rPr>
                                  <w:rFonts w:ascii="Times New Roman" w:hAnsi="Times New Roman" w:cs="Times New Roman"/>
                                  <w:color w:val="222222"/>
                                  <w:w w:val="120"/>
                                  <w:sz w:val="14"/>
                                  <w:szCs w:val="14"/>
                                </w:rPr>
                                <w:t>Heineke</w:t>
                              </w:r>
                              <w:proofErr w:type="spellEnd"/>
                              <w:r>
                                <w:rPr>
                                  <w:rFonts w:ascii="Times New Roman" w:hAnsi="Times New Roman" w:cs="Times New Roman"/>
                                  <w:color w:val="222222"/>
                                  <w:w w:val="120"/>
                                  <w:sz w:val="14"/>
                                  <w:szCs w:val="14"/>
                                </w:rPr>
                                <w:t xml:space="preserve">, A. J., &amp; </w:t>
                              </w:r>
                              <w:proofErr w:type="spellStart"/>
                              <w:r>
                                <w:rPr>
                                  <w:rFonts w:ascii="Times New Roman" w:hAnsi="Times New Roman" w:cs="Times New Roman"/>
                                  <w:color w:val="222222"/>
                                  <w:w w:val="120"/>
                                  <w:sz w:val="14"/>
                                  <w:szCs w:val="14"/>
                                </w:rPr>
                                <w:t>Egnatz</w:t>
                              </w:r>
                              <w:proofErr w:type="spellEnd"/>
                              <w:r>
                                <w:rPr>
                                  <w:rFonts w:ascii="Times New Roman" w:hAnsi="Times New Roman" w:cs="Times New Roman"/>
                                  <w:color w:val="222222"/>
                                  <w:w w:val="120"/>
                                  <w:sz w:val="14"/>
                                  <w:szCs w:val="14"/>
                                </w:rPr>
                                <w:t xml:space="preserve">, L. (2018). The Seal of Biliteracy: Successes and challenges to implementation. </w:t>
                              </w:r>
                              <w:r>
                                <w:rPr>
                                  <w:rFonts w:ascii="Times New Roman" w:hAnsi="Times New Roman" w:cs="Times New Roman"/>
                                  <w:i/>
                                  <w:iCs/>
                                  <w:color w:val="222222"/>
                                  <w:w w:val="120"/>
                                  <w:sz w:val="14"/>
                                  <w:szCs w:val="14"/>
                                </w:rPr>
                                <w:t>Foreign Language Annals</w:t>
                              </w:r>
                              <w:r>
                                <w:rPr>
                                  <w:rFonts w:ascii="Times New Roman" w:hAnsi="Times New Roman" w:cs="Times New Roman"/>
                                  <w:color w:val="222222"/>
                                  <w:w w:val="120"/>
                                  <w:sz w:val="14"/>
                                  <w:szCs w:val="14"/>
                                </w:rPr>
                                <w:t xml:space="preserve">. </w:t>
                              </w:r>
                              <w:r>
                                <w:rPr>
                                  <w:rFonts w:ascii="Times New Roman" w:hAnsi="Times New Roman" w:cs="Times New Roman"/>
                                  <w:i/>
                                  <w:iCs/>
                                  <w:color w:val="191919"/>
                                  <w:w w:val="120"/>
                                  <w:sz w:val="14"/>
                                  <w:szCs w:val="14"/>
                                </w:rPr>
                                <w:t>51</w:t>
                              </w:r>
                              <w:r>
                                <w:rPr>
                                  <w:rFonts w:ascii="Times New Roman" w:hAnsi="Times New Roman" w:cs="Times New Roman"/>
                                  <w:color w:val="191919"/>
                                  <w:w w:val="120"/>
                                  <w:sz w:val="14"/>
                                  <w:szCs w:val="14"/>
                                </w:rPr>
                                <w:t>(2), 275</w:t>
                              </w:r>
                              <w:r>
                                <w:rPr>
                                  <w:rFonts w:ascii="Times New Roman" w:hAnsi="Times New Roman" w:cs="Times New Roman"/>
                                  <w:color w:val="222222"/>
                                  <w:w w:val="120"/>
                                  <w:sz w:val="14"/>
                                  <w:szCs w:val="14"/>
                                </w:rPr>
                                <w:t>–</w:t>
                              </w:r>
                              <w:r>
                                <w:rPr>
                                  <w:rFonts w:ascii="Times New Roman" w:hAnsi="Times New Roman" w:cs="Times New Roman"/>
                                  <w:color w:val="191919"/>
                                  <w:w w:val="120"/>
                                  <w:sz w:val="14"/>
                                  <w:szCs w:val="14"/>
                                </w:rPr>
                                <w:t>289</w:t>
                              </w:r>
                              <w:r>
                                <w:rPr>
                                  <w:rFonts w:ascii="Times New Roman" w:hAnsi="Times New Roman" w:cs="Times New Roman"/>
                                  <w:color w:val="000000"/>
                                  <w:w w:val="120"/>
                                  <w:sz w:val="14"/>
                                  <w:szCs w:val="14"/>
                                </w:rPr>
                                <w:t>.</w:t>
                              </w:r>
                            </w:p>
                            <w:p w:rsidR="00703160" w:rsidP="00703160" w:rsidRDefault="00703160" w14:paraId="2E0687D2" w14:textId="77777777">
                              <w:pPr>
                                <w:pStyle w:val="BodyText"/>
                                <w:kinsoku w:val="0"/>
                                <w:overflowPunct w:val="0"/>
                                <w:spacing w:before="9"/>
                                <w:rPr>
                                  <w:rFonts w:ascii="Times New Roman" w:hAnsi="Times New Roman" w:cs="Times New Roman"/>
                                  <w:sz w:val="13"/>
                                  <w:szCs w:val="13"/>
                                </w:rPr>
                              </w:pPr>
                            </w:p>
                            <w:p w:rsidR="00703160" w:rsidP="00703160" w:rsidRDefault="00703160" w14:paraId="4B953C4F" w14:textId="77777777">
                              <w:pPr>
                                <w:pStyle w:val="BodyText"/>
                                <w:kinsoku w:val="0"/>
                                <w:overflowPunct w:val="0"/>
                                <w:spacing w:before="1" w:line="249" w:lineRule="auto"/>
                                <w:ind w:left="826" w:hanging="720"/>
                                <w:rPr>
                                  <w:rFonts w:ascii="Times New Roman" w:hAnsi="Times New Roman" w:cs="Times New Roman"/>
                                  <w:color w:val="222222"/>
                                  <w:w w:val="115"/>
                                  <w:sz w:val="14"/>
                                  <w:szCs w:val="14"/>
                                </w:rPr>
                              </w:pPr>
                              <w:proofErr w:type="spellStart"/>
                              <w:r>
                                <w:rPr>
                                  <w:rFonts w:ascii="Times New Roman" w:hAnsi="Times New Roman" w:cs="Times New Roman"/>
                                  <w:color w:val="222222"/>
                                  <w:w w:val="115"/>
                                  <w:sz w:val="14"/>
                                  <w:szCs w:val="14"/>
                                </w:rPr>
                                <w:t>Heineke</w:t>
                              </w:r>
                              <w:proofErr w:type="spellEnd"/>
                              <w:r>
                                <w:rPr>
                                  <w:rFonts w:ascii="Times New Roman" w:hAnsi="Times New Roman" w:cs="Times New Roman"/>
                                  <w:color w:val="222222"/>
                                  <w:w w:val="115"/>
                                  <w:sz w:val="14"/>
                                  <w:szCs w:val="14"/>
                                </w:rPr>
                                <w:t xml:space="preserve">, A. J., Davin, K. J., &amp; Bedford, A. (2018). The Seal of Biliteracy: Considering equity and access for English learners. </w:t>
                              </w:r>
                              <w:r>
                                <w:rPr>
                                  <w:rFonts w:ascii="Times New Roman" w:hAnsi="Times New Roman" w:cs="Times New Roman"/>
                                  <w:i/>
                                  <w:iCs/>
                                  <w:color w:val="222222"/>
                                  <w:w w:val="115"/>
                                  <w:sz w:val="14"/>
                                  <w:szCs w:val="14"/>
                                </w:rPr>
                                <w:t>Education Policy Analysis Archives</w:t>
                              </w:r>
                              <w:r>
                                <w:rPr>
                                  <w:rFonts w:ascii="Times New Roman" w:hAnsi="Times New Roman" w:cs="Times New Roman"/>
                                  <w:color w:val="222222"/>
                                  <w:w w:val="115"/>
                                  <w:sz w:val="14"/>
                                  <w:szCs w:val="14"/>
                                </w:rPr>
                                <w:t xml:space="preserve">, </w:t>
                              </w:r>
                              <w:r>
                                <w:rPr>
                                  <w:rFonts w:ascii="Times New Roman" w:hAnsi="Times New Roman" w:cs="Times New Roman"/>
                                  <w:i/>
                                  <w:iCs/>
                                  <w:color w:val="222222"/>
                                  <w:w w:val="115"/>
                                  <w:sz w:val="14"/>
                                  <w:szCs w:val="14"/>
                                </w:rPr>
                                <w:t>26</w:t>
                              </w:r>
                              <w:r>
                                <w:rPr>
                                  <w:rFonts w:ascii="Times New Roman" w:hAnsi="Times New Roman" w:cs="Times New Roman"/>
                                  <w:color w:val="222222"/>
                                  <w:w w:val="115"/>
                                  <w:sz w:val="14"/>
                                  <w:szCs w:val="14"/>
                                </w:rPr>
                                <w:t>(99).</w:t>
                              </w:r>
                            </w:p>
                            <w:p w:rsidR="00703160" w:rsidP="00703160" w:rsidRDefault="00703160" w14:paraId="3737854E" w14:textId="77777777">
                              <w:pPr>
                                <w:pStyle w:val="BodyText"/>
                                <w:kinsoku w:val="0"/>
                                <w:overflowPunct w:val="0"/>
                                <w:spacing w:before="5"/>
                                <w:rPr>
                                  <w:rFonts w:ascii="Times New Roman" w:hAnsi="Times New Roman" w:cs="Times New Roman"/>
                                  <w:sz w:val="13"/>
                                  <w:szCs w:val="13"/>
                                </w:rPr>
                              </w:pPr>
                            </w:p>
                            <w:p w:rsidR="00703160" w:rsidP="00703160" w:rsidRDefault="00703160" w14:paraId="6801DCAC" w14:textId="77777777">
                              <w:pPr>
                                <w:pStyle w:val="BodyText"/>
                                <w:kinsoku w:val="0"/>
                                <w:overflowPunct w:val="0"/>
                                <w:spacing w:line="242" w:lineRule="auto"/>
                                <w:ind w:left="826" w:right="689" w:hanging="720"/>
                                <w:rPr>
                                  <w:rFonts w:ascii="Times New Roman" w:hAnsi="Times New Roman" w:cs="Times New Roman"/>
                                  <w:color w:val="222222"/>
                                  <w:w w:val="115"/>
                                  <w:sz w:val="14"/>
                                  <w:szCs w:val="14"/>
                                </w:rPr>
                              </w:pPr>
                              <w:proofErr w:type="spellStart"/>
                              <w:r>
                                <w:rPr>
                                  <w:rFonts w:ascii="Times New Roman" w:hAnsi="Times New Roman" w:cs="Times New Roman"/>
                                  <w:color w:val="222222"/>
                                  <w:w w:val="115"/>
                                  <w:sz w:val="14"/>
                                  <w:szCs w:val="14"/>
                                </w:rPr>
                                <w:t>Heineke</w:t>
                              </w:r>
                              <w:proofErr w:type="spellEnd"/>
                              <w:r>
                                <w:rPr>
                                  <w:rFonts w:ascii="Times New Roman" w:hAnsi="Times New Roman" w:cs="Times New Roman"/>
                                  <w:color w:val="222222"/>
                                  <w:w w:val="115"/>
                                  <w:sz w:val="14"/>
                                  <w:szCs w:val="14"/>
                                </w:rPr>
                                <w:t xml:space="preserve">, A. J., Davin, K. J., &amp; </w:t>
                              </w:r>
                              <w:proofErr w:type="spellStart"/>
                              <w:r>
                                <w:rPr>
                                  <w:rFonts w:ascii="Times New Roman" w:hAnsi="Times New Roman" w:cs="Times New Roman"/>
                                  <w:color w:val="222222"/>
                                  <w:w w:val="115"/>
                                  <w:sz w:val="14"/>
                                  <w:szCs w:val="14"/>
                                </w:rPr>
                                <w:t>Dávila</w:t>
                              </w:r>
                              <w:proofErr w:type="spellEnd"/>
                              <w:r>
                                <w:rPr>
                                  <w:rFonts w:ascii="Times New Roman" w:hAnsi="Times New Roman" w:cs="Times New Roman"/>
                                  <w:color w:val="222222"/>
                                  <w:w w:val="115"/>
                                  <w:sz w:val="14"/>
                                  <w:szCs w:val="14"/>
                                </w:rPr>
                                <w:t xml:space="preserve">, A. (2019). Promoting multilingualism for English learners: The Seal of Biliteracy in Washington State. </w:t>
                              </w:r>
                              <w:r>
                                <w:rPr>
                                  <w:rFonts w:ascii="Times New Roman" w:hAnsi="Times New Roman" w:cs="Times New Roman"/>
                                  <w:i/>
                                  <w:iCs/>
                                  <w:color w:val="222222"/>
                                  <w:w w:val="115"/>
                                  <w:sz w:val="14"/>
                                  <w:szCs w:val="14"/>
                                </w:rPr>
                                <w:t>TESOL Journal</w:t>
                              </w:r>
                              <w:r>
                                <w:rPr>
                                  <w:rFonts w:ascii="Times New Roman" w:hAnsi="Times New Roman" w:cs="Times New Roman"/>
                                  <w:color w:val="222222"/>
                                  <w:w w:val="115"/>
                                  <w:sz w:val="14"/>
                                  <w:szCs w:val="14"/>
                                </w:rPr>
                                <w:t>, e00451.</w:t>
                              </w:r>
                            </w:p>
                            <w:p w:rsidR="00703160" w:rsidP="00703160" w:rsidRDefault="00703160" w14:paraId="2A7B9C6F" w14:textId="77777777">
                              <w:pPr>
                                <w:pStyle w:val="BodyText"/>
                                <w:kinsoku w:val="0"/>
                                <w:overflowPunct w:val="0"/>
                                <w:spacing w:before="8"/>
                                <w:rPr>
                                  <w:rFonts w:ascii="Times New Roman" w:hAnsi="Times New Roman" w:cs="Times New Roman"/>
                                  <w:sz w:val="14"/>
                                  <w:szCs w:val="14"/>
                                </w:rPr>
                              </w:pPr>
                            </w:p>
                            <w:p w:rsidR="00703160" w:rsidP="00703160" w:rsidRDefault="00703160" w14:paraId="632D2204" w14:textId="77777777">
                              <w:pPr>
                                <w:pStyle w:val="BodyText"/>
                                <w:kinsoku w:val="0"/>
                                <w:overflowPunct w:val="0"/>
                                <w:spacing w:line="264" w:lineRule="auto"/>
                                <w:ind w:left="106" w:right="475"/>
                                <w:rPr>
                                  <w:rFonts w:ascii="Times New Roman" w:hAnsi="Times New Roman" w:cs="Times New Roman"/>
                                  <w:color w:val="222222"/>
                                  <w:w w:val="115"/>
                                  <w:sz w:val="14"/>
                                  <w:szCs w:val="14"/>
                                </w:rPr>
                              </w:pPr>
                              <w:proofErr w:type="spellStart"/>
                              <w:r>
                                <w:rPr>
                                  <w:rFonts w:ascii="Times New Roman" w:hAnsi="Times New Roman" w:cs="Times New Roman"/>
                                  <w:color w:val="222222"/>
                                  <w:w w:val="115"/>
                                  <w:sz w:val="14"/>
                                  <w:szCs w:val="14"/>
                                </w:rPr>
                                <w:t>Subtirelu</w:t>
                              </w:r>
                              <w:proofErr w:type="spellEnd"/>
                              <w:r>
                                <w:rPr>
                                  <w:rFonts w:ascii="Times New Roman" w:hAnsi="Times New Roman" w:cs="Times New Roman"/>
                                  <w:color w:val="222222"/>
                                  <w:w w:val="115"/>
                                  <w:sz w:val="14"/>
                                  <w:szCs w:val="14"/>
                                </w:rPr>
                                <w:t xml:space="preserve">, N., Borowczyk, M., Thorson Hernández, R., &amp; Venezia, F. (2019). Recognizing Whose </w:t>
                              </w:r>
                              <w:proofErr w:type="gramStart"/>
                              <w:r>
                                <w:rPr>
                                  <w:rFonts w:ascii="Times New Roman" w:hAnsi="Times New Roman" w:cs="Times New Roman"/>
                                  <w:color w:val="222222"/>
                                  <w:w w:val="115"/>
                                  <w:sz w:val="14"/>
                                  <w:szCs w:val="14"/>
                                </w:rPr>
                                <w:t>Bilingualism?:</w:t>
                              </w:r>
                              <w:proofErr w:type="gramEnd"/>
                              <w:r>
                                <w:rPr>
                                  <w:rFonts w:ascii="Times New Roman" w:hAnsi="Times New Roman" w:cs="Times New Roman"/>
                                  <w:color w:val="222222"/>
                                  <w:w w:val="115"/>
                                  <w:sz w:val="14"/>
                                  <w:szCs w:val="14"/>
                                </w:rPr>
                                <w:t xml:space="preserve"> A critical policy analysis of  the Seal of Biliteracy. </w:t>
                              </w:r>
                              <w:r>
                                <w:rPr>
                                  <w:rFonts w:ascii="Times New Roman" w:hAnsi="Times New Roman" w:cs="Times New Roman"/>
                                  <w:i/>
                                  <w:iCs/>
                                  <w:color w:val="222222"/>
                                  <w:w w:val="115"/>
                                  <w:sz w:val="14"/>
                                  <w:szCs w:val="14"/>
                                </w:rPr>
                                <w:t>The Modern Language Journal</w:t>
                              </w:r>
                              <w:r>
                                <w:rPr>
                                  <w:rFonts w:ascii="Times New Roman" w:hAnsi="Times New Roman" w:cs="Times New Roman"/>
                                  <w:color w:val="222222"/>
                                  <w:w w:val="115"/>
                                  <w:sz w:val="14"/>
                                  <w:szCs w:val="14"/>
                                </w:rPr>
                                <w:t xml:space="preserve">, </w:t>
                              </w:r>
                              <w:r>
                                <w:rPr>
                                  <w:rFonts w:ascii="Times New Roman" w:hAnsi="Times New Roman" w:cs="Times New Roman"/>
                                  <w:i/>
                                  <w:iCs/>
                                  <w:color w:val="222222"/>
                                  <w:w w:val="115"/>
                                  <w:sz w:val="14"/>
                                  <w:szCs w:val="14"/>
                                </w:rPr>
                                <w:t>103</w:t>
                              </w:r>
                              <w:r>
                                <w:rPr>
                                  <w:rFonts w:ascii="Times New Roman" w:hAnsi="Times New Roman" w:cs="Times New Roman"/>
                                  <w:color w:val="222222"/>
                                  <w:w w:val="115"/>
                                  <w:sz w:val="14"/>
                                  <w:szCs w:val="14"/>
                                </w:rPr>
                                <w:t>(2),</w:t>
                              </w:r>
                              <w:r>
                                <w:rPr>
                                  <w:rFonts w:ascii="Times New Roman" w:hAnsi="Times New Roman" w:cs="Times New Roman"/>
                                  <w:color w:val="222222"/>
                                  <w:spacing w:val="40"/>
                                  <w:w w:val="115"/>
                                  <w:sz w:val="14"/>
                                  <w:szCs w:val="14"/>
                                </w:rPr>
                                <w:t xml:space="preserve"> </w:t>
                              </w:r>
                              <w:r>
                                <w:rPr>
                                  <w:rFonts w:ascii="Times New Roman" w:hAnsi="Times New Roman" w:cs="Times New Roman"/>
                                  <w:color w:val="222222"/>
                                  <w:w w:val="115"/>
                                  <w:sz w:val="14"/>
                                  <w:szCs w:val="14"/>
                                </w:rPr>
                                <w:t>371-390.</w:t>
                              </w:r>
                            </w:p>
                          </w:txbxContent>
                        </wps:txbx>
                        <wps:bodyPr rot="0" vert="horz" wrap="square" lIns="0" tIns="0" rIns="0" bIns="0" anchor="t" anchorCtr="0" upright="1">
                          <a:noAutofit/>
                        </wps:bodyPr>
                      </wps:wsp>
                    </wpg:wgp>
                  </a:graphicData>
                </a:graphic>
              </wp:inline>
            </w:drawing>
          </mc:Choice>
          <mc:Fallback>
            <w:pict w14:anchorId="7E314C3C">
              <v:group id="Group 2" style="width:508pt;height:209.35pt;mso-position-horizontal-relative:char;mso-position-vertical-relative:line" coordsize="9917,2810" o:spid="_x0000_s1026" w14:anchorId="38786A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">
                <v:shape id="Freeform 3" style="position:absolute;width:9907;height:2810;visibility:visible;mso-wrap-style:square;v-text-anchor:top" coordsize="9907,2810" o:spid="_x0000_s1027" stroked="f" path="m,2809l,,9906,r,l9906,2809r,l,280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">
                  <v:path arrowok="t" o:connecttype="custom" o:connectlocs="0,2809;0,0;9906,0;9906,0;9906,2809;9906,2809;0,2809" o:connectangles="0,0,0,0,0,0,0"/>
                </v:shape>
                <v:shape id="Freeform 4" style="position:absolute;left:9906;width:20;height:2810;visibility:visible;mso-wrap-style:square;v-text-anchor:top" coordsize="20,2810" o:spid="_x0000_s1028" filled="f" strokecolor="#5b9bd5" strokeweight="1pt" path="m,l,2809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">
                  <v:path arrowok="t" o:connecttype="custom" o:connectlocs="0,0;0,2809" o:connectangles="0,0"/>
                </v:shape>
                <v:shapetype id="_x0000_t202" coordsize="21600,21600" o:spt="202" path="m,l,21600r21600,l21600,xe">
                  <v:stroke joinstyle="miter"/>
                  <v:path gradientshapeok="t" o:connecttype="rect"/>
                </v:shapetype>
                <v:shape id="Text Box 5" style="position:absolute;width:9917;height:2810;visibility:visible;mso-wrap-style:square;v-text-anchor:top" o:spid="_x0000_s1029"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v:textbox inset="0,0,0,0">
                    <w:txbxContent>
                      <w:p w:rsidR="00703160" w:rsidP="00703160" w:rsidRDefault="00703160" w14:paraId="071E4E01" w14:textId="77777777">
                        <w:pPr>
                          <w:pStyle w:val="BodyText"/>
                          <w:kinsoku w:val="0"/>
                          <w:overflowPunct w:val="0"/>
                          <w:spacing w:before="49"/>
                          <w:ind w:left="4193" w:right="4247"/>
                          <w:jc w:val="center"/>
                          <w:rPr>
                            <w:rFonts w:ascii="Times New Roman" w:hAnsi="Times New Roman" w:cs="Times New Roman"/>
                            <w:b w:val="0"/>
                            <w:bCs w:val="0"/>
                            <w:w w:val="110"/>
                            <w:sz w:val="28"/>
                            <w:szCs w:val="28"/>
                          </w:rPr>
                        </w:pPr>
                        <w:r>
                          <w:rPr>
                            <w:rFonts w:ascii="Times New Roman" w:hAnsi="Times New Roman" w:cs="Times New Roman"/>
                            <w:b w:val="0"/>
                            <w:bCs w:val="0"/>
                            <w:w w:val="110"/>
                            <w:sz w:val="28"/>
                            <w:szCs w:val="28"/>
                          </w:rPr>
                          <w:t>References</w:t>
                        </w:r>
                      </w:p>
                      <w:p w:rsidR="00703160" w:rsidP="00703160" w:rsidRDefault="00703160" w14:paraId="0803795A" w14:textId="77777777">
                        <w:pPr>
                          <w:pStyle w:val="BodyText"/>
                          <w:kinsoku w:val="0"/>
                          <w:overflowPunct w:val="0"/>
                          <w:spacing w:before="193"/>
                          <w:ind w:left="106"/>
                          <w:rPr>
                            <w:rFonts w:ascii="Times New Roman" w:hAnsi="Times New Roman" w:cs="Times New Roman"/>
                            <w:color w:val="222222"/>
                            <w:w w:val="115"/>
                            <w:sz w:val="14"/>
                            <w:szCs w:val="14"/>
                          </w:rPr>
                        </w:pPr>
                        <w:r>
                          <w:rPr>
                            <w:rFonts w:ascii="Times New Roman" w:hAnsi="Times New Roman" w:cs="Times New Roman"/>
                            <w:color w:val="222222"/>
                            <w:w w:val="115"/>
                            <w:sz w:val="14"/>
                            <w:szCs w:val="14"/>
                          </w:rPr>
                          <w:t xml:space="preserve">Davin, K. J., &amp; </w:t>
                        </w:r>
                        <w:proofErr w:type="spellStart"/>
                        <w:r>
                          <w:rPr>
                            <w:rFonts w:ascii="Times New Roman" w:hAnsi="Times New Roman" w:cs="Times New Roman"/>
                            <w:color w:val="222222"/>
                            <w:w w:val="115"/>
                            <w:sz w:val="14"/>
                            <w:szCs w:val="14"/>
                          </w:rPr>
                          <w:t>Heineke</w:t>
                        </w:r>
                        <w:proofErr w:type="spellEnd"/>
                        <w:r>
                          <w:rPr>
                            <w:rFonts w:ascii="Times New Roman" w:hAnsi="Times New Roman" w:cs="Times New Roman"/>
                            <w:color w:val="222222"/>
                            <w:w w:val="115"/>
                            <w:sz w:val="14"/>
                            <w:szCs w:val="14"/>
                          </w:rPr>
                          <w:t xml:space="preserve">, A. J. (2017). The Seal of Biliteracy: Variations in policy and outcomes. </w:t>
                        </w:r>
                        <w:r>
                          <w:rPr>
                            <w:rFonts w:ascii="Times New Roman" w:hAnsi="Times New Roman" w:cs="Times New Roman"/>
                            <w:i/>
                            <w:iCs/>
                            <w:color w:val="222222"/>
                            <w:w w:val="115"/>
                            <w:sz w:val="14"/>
                            <w:szCs w:val="14"/>
                          </w:rPr>
                          <w:t>Foreign Language Annals</w:t>
                        </w:r>
                        <w:r>
                          <w:rPr>
                            <w:rFonts w:ascii="Times New Roman" w:hAnsi="Times New Roman" w:cs="Times New Roman"/>
                            <w:color w:val="222222"/>
                            <w:w w:val="115"/>
                            <w:sz w:val="14"/>
                            <w:szCs w:val="14"/>
                          </w:rPr>
                          <w:t xml:space="preserve">, </w:t>
                        </w:r>
                        <w:r>
                          <w:rPr>
                            <w:rFonts w:ascii="Times New Roman" w:hAnsi="Times New Roman" w:cs="Times New Roman"/>
                            <w:i/>
                            <w:iCs/>
                            <w:color w:val="222222"/>
                            <w:w w:val="115"/>
                            <w:sz w:val="14"/>
                            <w:szCs w:val="14"/>
                          </w:rPr>
                          <w:t>50</w:t>
                        </w:r>
                        <w:r>
                          <w:rPr>
                            <w:rFonts w:ascii="Times New Roman" w:hAnsi="Times New Roman" w:cs="Times New Roman"/>
                            <w:color w:val="222222"/>
                            <w:w w:val="115"/>
                            <w:sz w:val="14"/>
                            <w:szCs w:val="14"/>
                          </w:rPr>
                          <w:t>(3), 486-499.</w:t>
                        </w:r>
                      </w:p>
                      <w:p w:rsidR="00703160" w:rsidP="00703160" w:rsidRDefault="00703160" w14:paraId="672A6659" w14:textId="77777777">
                        <w:pPr>
                          <w:pStyle w:val="BodyText"/>
                          <w:kinsoku w:val="0"/>
                          <w:overflowPunct w:val="0"/>
                          <w:spacing w:before="10"/>
                          <w:rPr>
                            <w:rFonts w:ascii="Times New Roman" w:hAnsi="Times New Roman" w:cs="Times New Roman"/>
                            <w:sz w:val="13"/>
                            <w:szCs w:val="13"/>
                          </w:rPr>
                        </w:pPr>
                      </w:p>
                      <w:p w:rsidR="00703160" w:rsidP="00703160" w:rsidRDefault="00703160" w14:paraId="1BCABE99" w14:textId="77777777">
                        <w:pPr>
                          <w:pStyle w:val="BodyText"/>
                          <w:kinsoku w:val="0"/>
                          <w:overflowPunct w:val="0"/>
                          <w:spacing w:before="1" w:line="264" w:lineRule="auto"/>
                          <w:ind w:left="106" w:right="475"/>
                          <w:rPr>
                            <w:rFonts w:ascii="Times New Roman" w:hAnsi="Times New Roman" w:cs="Times New Roman"/>
                            <w:color w:val="000000"/>
                            <w:w w:val="120"/>
                            <w:sz w:val="14"/>
                            <w:szCs w:val="14"/>
                          </w:rPr>
                        </w:pPr>
                        <w:r>
                          <w:rPr>
                            <w:rFonts w:ascii="Times New Roman" w:hAnsi="Times New Roman" w:cs="Times New Roman"/>
                            <w:color w:val="222222"/>
                            <w:w w:val="120"/>
                            <w:sz w:val="14"/>
                            <w:szCs w:val="14"/>
                          </w:rPr>
                          <w:t xml:space="preserve">Davin, K. J., </w:t>
                        </w:r>
                        <w:proofErr w:type="spellStart"/>
                        <w:r>
                          <w:rPr>
                            <w:rFonts w:ascii="Times New Roman" w:hAnsi="Times New Roman" w:cs="Times New Roman"/>
                            <w:color w:val="222222"/>
                            <w:w w:val="120"/>
                            <w:sz w:val="14"/>
                            <w:szCs w:val="14"/>
                          </w:rPr>
                          <w:t>Heineke</w:t>
                        </w:r>
                        <w:proofErr w:type="spellEnd"/>
                        <w:r>
                          <w:rPr>
                            <w:rFonts w:ascii="Times New Roman" w:hAnsi="Times New Roman" w:cs="Times New Roman"/>
                            <w:color w:val="222222"/>
                            <w:w w:val="120"/>
                            <w:sz w:val="14"/>
                            <w:szCs w:val="14"/>
                          </w:rPr>
                          <w:t xml:space="preserve">, A. J., &amp; </w:t>
                        </w:r>
                        <w:proofErr w:type="spellStart"/>
                        <w:r>
                          <w:rPr>
                            <w:rFonts w:ascii="Times New Roman" w:hAnsi="Times New Roman" w:cs="Times New Roman"/>
                            <w:color w:val="222222"/>
                            <w:w w:val="120"/>
                            <w:sz w:val="14"/>
                            <w:szCs w:val="14"/>
                          </w:rPr>
                          <w:t>Egnatz</w:t>
                        </w:r>
                        <w:proofErr w:type="spellEnd"/>
                        <w:r>
                          <w:rPr>
                            <w:rFonts w:ascii="Times New Roman" w:hAnsi="Times New Roman" w:cs="Times New Roman"/>
                            <w:color w:val="222222"/>
                            <w:w w:val="120"/>
                            <w:sz w:val="14"/>
                            <w:szCs w:val="14"/>
                          </w:rPr>
                          <w:t xml:space="preserve">, L. (2018). The Seal of Biliteracy: Successes and challenges to implementation. </w:t>
                        </w:r>
                        <w:r>
                          <w:rPr>
                            <w:rFonts w:ascii="Times New Roman" w:hAnsi="Times New Roman" w:cs="Times New Roman"/>
                            <w:i/>
                            <w:iCs/>
                            <w:color w:val="222222"/>
                            <w:w w:val="120"/>
                            <w:sz w:val="14"/>
                            <w:szCs w:val="14"/>
                          </w:rPr>
                          <w:t>Foreign Language Annals</w:t>
                        </w:r>
                        <w:r>
                          <w:rPr>
                            <w:rFonts w:ascii="Times New Roman" w:hAnsi="Times New Roman" w:cs="Times New Roman"/>
                            <w:color w:val="222222"/>
                            <w:w w:val="120"/>
                            <w:sz w:val="14"/>
                            <w:szCs w:val="14"/>
                          </w:rPr>
                          <w:t xml:space="preserve">. </w:t>
                        </w:r>
                        <w:r>
                          <w:rPr>
                            <w:rFonts w:ascii="Times New Roman" w:hAnsi="Times New Roman" w:cs="Times New Roman"/>
                            <w:i/>
                            <w:iCs/>
                            <w:color w:val="191919"/>
                            <w:w w:val="120"/>
                            <w:sz w:val="14"/>
                            <w:szCs w:val="14"/>
                          </w:rPr>
                          <w:t>51</w:t>
                        </w:r>
                        <w:r>
                          <w:rPr>
                            <w:rFonts w:ascii="Times New Roman" w:hAnsi="Times New Roman" w:cs="Times New Roman"/>
                            <w:color w:val="191919"/>
                            <w:w w:val="120"/>
                            <w:sz w:val="14"/>
                            <w:szCs w:val="14"/>
                          </w:rPr>
                          <w:t>(2), 275</w:t>
                        </w:r>
                        <w:r>
                          <w:rPr>
                            <w:rFonts w:ascii="Times New Roman" w:hAnsi="Times New Roman" w:cs="Times New Roman"/>
                            <w:color w:val="222222"/>
                            <w:w w:val="120"/>
                            <w:sz w:val="14"/>
                            <w:szCs w:val="14"/>
                          </w:rPr>
                          <w:t>–</w:t>
                        </w:r>
                        <w:r>
                          <w:rPr>
                            <w:rFonts w:ascii="Times New Roman" w:hAnsi="Times New Roman" w:cs="Times New Roman"/>
                            <w:color w:val="191919"/>
                            <w:w w:val="120"/>
                            <w:sz w:val="14"/>
                            <w:szCs w:val="14"/>
                          </w:rPr>
                          <w:t>289</w:t>
                        </w:r>
                        <w:r>
                          <w:rPr>
                            <w:rFonts w:ascii="Times New Roman" w:hAnsi="Times New Roman" w:cs="Times New Roman"/>
                            <w:color w:val="000000"/>
                            <w:w w:val="120"/>
                            <w:sz w:val="14"/>
                            <w:szCs w:val="14"/>
                          </w:rPr>
                          <w:t>.</w:t>
                        </w:r>
                      </w:p>
                      <w:p w:rsidR="00703160" w:rsidP="00703160" w:rsidRDefault="00703160" w14:paraId="0A37501D" w14:textId="77777777">
                        <w:pPr>
                          <w:pStyle w:val="BodyText"/>
                          <w:kinsoku w:val="0"/>
                          <w:overflowPunct w:val="0"/>
                          <w:spacing w:before="9"/>
                          <w:rPr>
                            <w:rFonts w:ascii="Times New Roman" w:hAnsi="Times New Roman" w:cs="Times New Roman"/>
                            <w:sz w:val="13"/>
                            <w:szCs w:val="13"/>
                          </w:rPr>
                        </w:pPr>
                      </w:p>
                      <w:p w:rsidR="00703160" w:rsidP="00703160" w:rsidRDefault="00703160" w14:paraId="6DE586A7" w14:textId="77777777">
                        <w:pPr>
                          <w:pStyle w:val="BodyText"/>
                          <w:kinsoku w:val="0"/>
                          <w:overflowPunct w:val="0"/>
                          <w:spacing w:before="1" w:line="249" w:lineRule="auto"/>
                          <w:ind w:left="826" w:hanging="720"/>
                          <w:rPr>
                            <w:rFonts w:ascii="Times New Roman" w:hAnsi="Times New Roman" w:cs="Times New Roman"/>
                            <w:color w:val="222222"/>
                            <w:w w:val="115"/>
                            <w:sz w:val="14"/>
                            <w:szCs w:val="14"/>
                          </w:rPr>
                        </w:pPr>
                        <w:proofErr w:type="spellStart"/>
                        <w:r>
                          <w:rPr>
                            <w:rFonts w:ascii="Times New Roman" w:hAnsi="Times New Roman" w:cs="Times New Roman"/>
                            <w:color w:val="222222"/>
                            <w:w w:val="115"/>
                            <w:sz w:val="14"/>
                            <w:szCs w:val="14"/>
                          </w:rPr>
                          <w:t>Heineke</w:t>
                        </w:r>
                        <w:proofErr w:type="spellEnd"/>
                        <w:r>
                          <w:rPr>
                            <w:rFonts w:ascii="Times New Roman" w:hAnsi="Times New Roman" w:cs="Times New Roman"/>
                            <w:color w:val="222222"/>
                            <w:w w:val="115"/>
                            <w:sz w:val="14"/>
                            <w:szCs w:val="14"/>
                          </w:rPr>
                          <w:t xml:space="preserve">, A. J., Davin, K. J., &amp; Bedford, A. (2018). The Seal of Biliteracy: Considering equity and access for English learners. </w:t>
                        </w:r>
                        <w:r>
                          <w:rPr>
                            <w:rFonts w:ascii="Times New Roman" w:hAnsi="Times New Roman" w:cs="Times New Roman"/>
                            <w:i/>
                            <w:iCs/>
                            <w:color w:val="222222"/>
                            <w:w w:val="115"/>
                            <w:sz w:val="14"/>
                            <w:szCs w:val="14"/>
                          </w:rPr>
                          <w:t>Education Policy Analysis Archives</w:t>
                        </w:r>
                        <w:r>
                          <w:rPr>
                            <w:rFonts w:ascii="Times New Roman" w:hAnsi="Times New Roman" w:cs="Times New Roman"/>
                            <w:color w:val="222222"/>
                            <w:w w:val="115"/>
                            <w:sz w:val="14"/>
                            <w:szCs w:val="14"/>
                          </w:rPr>
                          <w:t xml:space="preserve">, </w:t>
                        </w:r>
                        <w:r>
                          <w:rPr>
                            <w:rFonts w:ascii="Times New Roman" w:hAnsi="Times New Roman" w:cs="Times New Roman"/>
                            <w:i/>
                            <w:iCs/>
                            <w:color w:val="222222"/>
                            <w:w w:val="115"/>
                            <w:sz w:val="14"/>
                            <w:szCs w:val="14"/>
                          </w:rPr>
                          <w:t>26</w:t>
                        </w:r>
                        <w:r>
                          <w:rPr>
                            <w:rFonts w:ascii="Times New Roman" w:hAnsi="Times New Roman" w:cs="Times New Roman"/>
                            <w:color w:val="222222"/>
                            <w:w w:val="115"/>
                            <w:sz w:val="14"/>
                            <w:szCs w:val="14"/>
                          </w:rPr>
                          <w:t>(99).</w:t>
                        </w:r>
                      </w:p>
                      <w:p w:rsidR="00703160" w:rsidP="00703160" w:rsidRDefault="00703160" w14:paraId="5DAB6C7B" w14:textId="77777777">
                        <w:pPr>
                          <w:pStyle w:val="BodyText"/>
                          <w:kinsoku w:val="0"/>
                          <w:overflowPunct w:val="0"/>
                          <w:spacing w:before="5"/>
                          <w:rPr>
                            <w:rFonts w:ascii="Times New Roman" w:hAnsi="Times New Roman" w:cs="Times New Roman"/>
                            <w:sz w:val="13"/>
                            <w:szCs w:val="13"/>
                          </w:rPr>
                        </w:pPr>
                      </w:p>
                      <w:p w:rsidR="00703160" w:rsidP="00703160" w:rsidRDefault="00703160" w14:paraId="0C895363" w14:textId="77777777">
                        <w:pPr>
                          <w:pStyle w:val="BodyText"/>
                          <w:kinsoku w:val="0"/>
                          <w:overflowPunct w:val="0"/>
                          <w:spacing w:line="242" w:lineRule="auto"/>
                          <w:ind w:left="826" w:right="689" w:hanging="720"/>
                          <w:rPr>
                            <w:rFonts w:ascii="Times New Roman" w:hAnsi="Times New Roman" w:cs="Times New Roman"/>
                            <w:color w:val="222222"/>
                            <w:w w:val="115"/>
                            <w:sz w:val="14"/>
                            <w:szCs w:val="14"/>
                          </w:rPr>
                        </w:pPr>
                        <w:proofErr w:type="spellStart"/>
                        <w:r>
                          <w:rPr>
                            <w:rFonts w:ascii="Times New Roman" w:hAnsi="Times New Roman" w:cs="Times New Roman"/>
                            <w:color w:val="222222"/>
                            <w:w w:val="115"/>
                            <w:sz w:val="14"/>
                            <w:szCs w:val="14"/>
                          </w:rPr>
                          <w:t>Heineke</w:t>
                        </w:r>
                        <w:proofErr w:type="spellEnd"/>
                        <w:r>
                          <w:rPr>
                            <w:rFonts w:ascii="Times New Roman" w:hAnsi="Times New Roman" w:cs="Times New Roman"/>
                            <w:color w:val="222222"/>
                            <w:w w:val="115"/>
                            <w:sz w:val="14"/>
                            <w:szCs w:val="14"/>
                          </w:rPr>
                          <w:t xml:space="preserve">, A. J., Davin, K. J., &amp; </w:t>
                        </w:r>
                        <w:proofErr w:type="spellStart"/>
                        <w:r>
                          <w:rPr>
                            <w:rFonts w:ascii="Times New Roman" w:hAnsi="Times New Roman" w:cs="Times New Roman"/>
                            <w:color w:val="222222"/>
                            <w:w w:val="115"/>
                            <w:sz w:val="14"/>
                            <w:szCs w:val="14"/>
                          </w:rPr>
                          <w:t>Dávila</w:t>
                        </w:r>
                        <w:proofErr w:type="spellEnd"/>
                        <w:r>
                          <w:rPr>
                            <w:rFonts w:ascii="Times New Roman" w:hAnsi="Times New Roman" w:cs="Times New Roman"/>
                            <w:color w:val="222222"/>
                            <w:w w:val="115"/>
                            <w:sz w:val="14"/>
                            <w:szCs w:val="14"/>
                          </w:rPr>
                          <w:t xml:space="preserve">, A. (2019). Promoting multilingualism for English learners: The Seal of Biliteracy in Washington State. </w:t>
                        </w:r>
                        <w:r>
                          <w:rPr>
                            <w:rFonts w:ascii="Times New Roman" w:hAnsi="Times New Roman" w:cs="Times New Roman"/>
                            <w:i/>
                            <w:iCs/>
                            <w:color w:val="222222"/>
                            <w:w w:val="115"/>
                            <w:sz w:val="14"/>
                            <w:szCs w:val="14"/>
                          </w:rPr>
                          <w:t>TESOL Journal</w:t>
                        </w:r>
                        <w:r>
                          <w:rPr>
                            <w:rFonts w:ascii="Times New Roman" w:hAnsi="Times New Roman" w:cs="Times New Roman"/>
                            <w:color w:val="222222"/>
                            <w:w w:val="115"/>
                            <w:sz w:val="14"/>
                            <w:szCs w:val="14"/>
                          </w:rPr>
                          <w:t>, e00451.</w:t>
                        </w:r>
                      </w:p>
                      <w:p w:rsidR="00703160" w:rsidP="00703160" w:rsidRDefault="00703160" w14:paraId="02EB378F" w14:textId="77777777">
                        <w:pPr>
                          <w:pStyle w:val="BodyText"/>
                          <w:kinsoku w:val="0"/>
                          <w:overflowPunct w:val="0"/>
                          <w:spacing w:before="8"/>
                          <w:rPr>
                            <w:rFonts w:ascii="Times New Roman" w:hAnsi="Times New Roman" w:cs="Times New Roman"/>
                            <w:sz w:val="14"/>
                            <w:szCs w:val="14"/>
                          </w:rPr>
                        </w:pPr>
                      </w:p>
                      <w:p w:rsidR="00703160" w:rsidP="00703160" w:rsidRDefault="00703160" w14:paraId="02A7C2A2" w14:textId="77777777">
                        <w:pPr>
                          <w:pStyle w:val="BodyText"/>
                          <w:kinsoku w:val="0"/>
                          <w:overflowPunct w:val="0"/>
                          <w:spacing w:line="264" w:lineRule="auto"/>
                          <w:ind w:left="106" w:right="475"/>
                          <w:rPr>
                            <w:rFonts w:ascii="Times New Roman" w:hAnsi="Times New Roman" w:cs="Times New Roman"/>
                            <w:color w:val="222222"/>
                            <w:w w:val="115"/>
                            <w:sz w:val="14"/>
                            <w:szCs w:val="14"/>
                          </w:rPr>
                        </w:pPr>
                        <w:proofErr w:type="spellStart"/>
                        <w:r>
                          <w:rPr>
                            <w:rFonts w:ascii="Times New Roman" w:hAnsi="Times New Roman" w:cs="Times New Roman"/>
                            <w:color w:val="222222"/>
                            <w:w w:val="115"/>
                            <w:sz w:val="14"/>
                            <w:szCs w:val="14"/>
                          </w:rPr>
                          <w:t>Subtirelu</w:t>
                        </w:r>
                        <w:proofErr w:type="spellEnd"/>
                        <w:r>
                          <w:rPr>
                            <w:rFonts w:ascii="Times New Roman" w:hAnsi="Times New Roman" w:cs="Times New Roman"/>
                            <w:color w:val="222222"/>
                            <w:w w:val="115"/>
                            <w:sz w:val="14"/>
                            <w:szCs w:val="14"/>
                          </w:rPr>
                          <w:t xml:space="preserve">, N., Borowczyk, M., Thorson Hernández, R., &amp; Venezia, F. (2019). Recognizing Whose </w:t>
                        </w:r>
                        <w:proofErr w:type="gramStart"/>
                        <w:r>
                          <w:rPr>
                            <w:rFonts w:ascii="Times New Roman" w:hAnsi="Times New Roman" w:cs="Times New Roman"/>
                            <w:color w:val="222222"/>
                            <w:w w:val="115"/>
                            <w:sz w:val="14"/>
                            <w:szCs w:val="14"/>
                          </w:rPr>
                          <w:t>Bilingualism?:</w:t>
                        </w:r>
                        <w:proofErr w:type="gramEnd"/>
                        <w:r>
                          <w:rPr>
                            <w:rFonts w:ascii="Times New Roman" w:hAnsi="Times New Roman" w:cs="Times New Roman"/>
                            <w:color w:val="222222"/>
                            <w:w w:val="115"/>
                            <w:sz w:val="14"/>
                            <w:szCs w:val="14"/>
                          </w:rPr>
                          <w:t xml:space="preserve"> A critical policy analysis of  the Seal of Biliteracy. </w:t>
                        </w:r>
                        <w:r>
                          <w:rPr>
                            <w:rFonts w:ascii="Times New Roman" w:hAnsi="Times New Roman" w:cs="Times New Roman"/>
                            <w:i/>
                            <w:iCs/>
                            <w:color w:val="222222"/>
                            <w:w w:val="115"/>
                            <w:sz w:val="14"/>
                            <w:szCs w:val="14"/>
                          </w:rPr>
                          <w:t>The Modern Language Journal</w:t>
                        </w:r>
                        <w:r>
                          <w:rPr>
                            <w:rFonts w:ascii="Times New Roman" w:hAnsi="Times New Roman" w:cs="Times New Roman"/>
                            <w:color w:val="222222"/>
                            <w:w w:val="115"/>
                            <w:sz w:val="14"/>
                            <w:szCs w:val="14"/>
                          </w:rPr>
                          <w:t xml:space="preserve">, </w:t>
                        </w:r>
                        <w:r>
                          <w:rPr>
                            <w:rFonts w:ascii="Times New Roman" w:hAnsi="Times New Roman" w:cs="Times New Roman"/>
                            <w:i/>
                            <w:iCs/>
                            <w:color w:val="222222"/>
                            <w:w w:val="115"/>
                            <w:sz w:val="14"/>
                            <w:szCs w:val="14"/>
                          </w:rPr>
                          <w:t>103</w:t>
                        </w:r>
                        <w:r>
                          <w:rPr>
                            <w:rFonts w:ascii="Times New Roman" w:hAnsi="Times New Roman" w:cs="Times New Roman"/>
                            <w:color w:val="222222"/>
                            <w:w w:val="115"/>
                            <w:sz w:val="14"/>
                            <w:szCs w:val="14"/>
                          </w:rPr>
                          <w:t>(2),</w:t>
                        </w:r>
                        <w:r>
                          <w:rPr>
                            <w:rFonts w:ascii="Times New Roman" w:hAnsi="Times New Roman" w:cs="Times New Roman"/>
                            <w:color w:val="222222"/>
                            <w:spacing w:val="40"/>
                            <w:w w:val="115"/>
                            <w:sz w:val="14"/>
                            <w:szCs w:val="14"/>
                          </w:rPr>
                          <w:t xml:space="preserve"> </w:t>
                        </w:r>
                        <w:r>
                          <w:rPr>
                            <w:rFonts w:ascii="Times New Roman" w:hAnsi="Times New Roman" w:cs="Times New Roman"/>
                            <w:color w:val="222222"/>
                            <w:w w:val="115"/>
                            <w:sz w:val="14"/>
                            <w:szCs w:val="14"/>
                          </w:rPr>
                          <w:t>371-390.</w:t>
                        </w:r>
                      </w:p>
                    </w:txbxContent>
                  </v:textbox>
                </v:shape>
                <w10:anchorlock/>
              </v:group>
            </w:pict>
          </mc:Fallback>
        </mc:AlternateContent>
      </w:r>
    </w:p>
    <w:p w:rsidR="00703160" w:rsidP="00703160" w:rsidRDefault="00703160" w14:paraId="1D73A491" w14:textId="709EC6FB">
      <w:pPr>
        <w:pStyle w:val="BodyText"/>
        <w:kinsoku w:val="0"/>
        <w:overflowPunct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7E9D9FC8" wp14:editId="4C9E5139">
                <wp:extent cx="3354705" cy="17081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160" w:rsidP="00703160" w:rsidRDefault="00703160" w14:paraId="01B82CD2" w14:textId="77777777">
                            <w:pPr>
                              <w:pStyle w:val="BodyText"/>
                              <w:kinsoku w:val="0"/>
                              <w:overflowPunct w:val="0"/>
                              <w:spacing w:line="268" w:lineRule="exact"/>
                              <w:rPr>
                                <w:color w:val="222222"/>
                              </w:rPr>
                            </w:pPr>
                            <w:r>
                              <w:rPr>
                                <w:color w:val="222222"/>
                              </w:rPr>
                              <w:t>Copyright 2019-2020 AELRC All Rights Reserved</w:t>
                            </w:r>
                          </w:p>
                        </w:txbxContent>
                      </wps:txbx>
                      <wps:bodyPr rot="0" vert="horz" wrap="square" lIns="0" tIns="0" rIns="0" bIns="0" anchor="t" anchorCtr="0" upright="1">
                        <a:noAutofit/>
                      </wps:bodyPr>
                    </wps:wsp>
                  </a:graphicData>
                </a:graphic>
              </wp:inline>
            </w:drawing>
          </mc:Choice>
          <mc:Fallback>
            <w:pict w14:anchorId="7FC818F9">
              <v:shape id="Text Box 1" style="width:264.15pt;height:13.45pt;visibility:visible;mso-wrap-style:square;mso-left-percent:-10001;mso-top-percent:-10001;mso-position-horizontal:absolute;mso-position-horizontal-relative:char;mso-position-vertical:absolute;mso-position-vertical-relative:line;mso-left-percent:-10001;mso-top-percent:-10001;v-text-anchor:top" o:spid="_x0000_s1030"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" w14:anchorId="7E9D9FC8">
                <v:textbox inset="0,0,0,0">
                  <w:txbxContent>
                    <w:p w:rsidR="00703160" w:rsidP="00703160" w:rsidRDefault="00703160" w14:paraId="42DD1A35" w14:textId="77777777">
                      <w:pPr>
                        <w:pStyle w:val="BodyText"/>
                        <w:kinsoku w:val="0"/>
                        <w:overflowPunct w:val="0"/>
                        <w:spacing w:line="268" w:lineRule="exact"/>
                        <w:rPr>
                          <w:color w:val="222222"/>
                        </w:rPr>
                      </w:pPr>
                      <w:r>
                        <w:rPr>
                          <w:color w:val="222222"/>
                        </w:rPr>
                        <w:t>Copyright 2019-2020 AELRC All Rights Reserved</w:t>
                      </w:r>
                    </w:p>
                  </w:txbxContent>
                </v:textbox>
                <w10:anchorlock/>
              </v:shape>
            </w:pict>
          </mc:Fallback>
        </mc:AlternateContent>
      </w:r>
    </w:p>
    <w:p w:rsidRPr="005A5BBB" w:rsidR="00703160" w:rsidRDefault="00703160" w14:paraId="6FE32863" w14:textId="77777777">
      <w:pPr>
        <w:rPr>
          <w:rFonts w:ascii="Times New Roman" w:hAnsi="Times New Roman" w:cs="Times New Roman"/>
        </w:rPr>
      </w:pPr>
    </w:p>
    <w:sectPr w:rsidRPr="005A5BBB" w:rsidR="00703160" w:rsidSect="00247E18">
      <w:pgSz w:w="12240" w:h="15840" w:orient="portrait"/>
      <w:pgMar w:top="144" w:right="605" w:bottom="0" w:left="6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6ADF" w:rsidP="00360E32" w:rsidRDefault="00206ADF" w14:paraId="58BD81A1" w14:textId="77777777">
      <w:r>
        <w:rPr>
          <w:lang w:val="en"/>
        </w:rPr>
        <w:separator/>
      </w:r>
    </w:p>
  </w:endnote>
  <w:endnote w:type="continuationSeparator" w:id="0">
    <w:p w:rsidR="00206ADF" w:rsidP="00360E32" w:rsidRDefault="00206ADF" w14:paraId="494C7BF2" w14:textId="77777777">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6ADF" w:rsidP="00360E32" w:rsidRDefault="00206ADF" w14:paraId="41041D45" w14:textId="77777777">
      <w:r>
        <w:rPr>
          <w:lang w:val="en"/>
        </w:rPr>
        <w:separator/>
      </w:r>
    </w:p>
  </w:footnote>
  <w:footnote w:type="continuationSeparator" w:id="0">
    <w:p w:rsidR="00206ADF" w:rsidP="00360E32" w:rsidRDefault="00206ADF" w14:paraId="1E6533AD" w14:textId="77777777">
      <w:r>
        <w:rPr>
          <w:lang w:val="en"/>
        </w:rPr>
        <w:continuationSeparator/>
      </w:r>
    </w:p>
  </w:footnote>
  <w:footnote w:id="1">
    <w:p w:rsidRPr="005A5BBB" w:rsidR="00C135AF" w:rsidP="00360E32" w:rsidRDefault="00C135AF" w14:paraId="0E89E420" w14:textId="77777777">
      <w:pPr>
        <w:pStyle w:val="FootnoteText"/>
        <w:rPr>
          <w:rFonts w:ascii="Times New Roman" w:hAnsi="Times New Roman" w:cs="Times New Roman"/>
        </w:rPr>
      </w:pPr>
      <w:r w:rsidRPr="005A5BBB">
        <w:rPr>
          <w:rStyle w:val="FootnoteReference"/>
          <w:rFonts w:ascii="Times New Roman" w:hAnsi="Times New Roman" w:cs="Times New Roman"/>
          <w:lang w:val="en"/>
        </w:rPr>
        <w:footnoteRef/>
      </w:r>
      <w:r w:rsidRPr="005A5BBB">
        <w:rPr>
          <w:rFonts w:ascii="Times New Roman" w:hAnsi="Times New Roman" w:cs="Times New Roman"/>
          <w:lang w:val="en"/>
        </w:rPr>
        <w:t xml:space="preserve"> " </w:t>
      </w:r>
      <w:r w:rsidRPr="005A5BBB">
        <w:rPr>
          <w:rFonts w:ascii="Times New Roman" w:hAnsi="Times New Roman" w:cs="Times New Roman"/>
          <w:sz w:val="24"/>
          <w:szCs w:val="24"/>
          <w:lang w:val="en"/>
        </w:rPr>
        <w:t>Accelerating the learning of heritage speakers in our global language</w:t>
      </w:r>
      <w:r w:rsidRPr="005A5BBB">
        <w:rPr>
          <w:rFonts w:ascii="Times New Roman" w:hAnsi="Times New Roman" w:cs="Times New Roman"/>
          <w:lang w:val="en"/>
        </w:rPr>
        <w:t xml:space="preserve"> </w:t>
      </w:r>
      <w:r w:rsidRPr="005A5BBB">
        <w:rPr>
          <w:rFonts w:ascii="Times New Roman" w:hAnsi="Times New Roman" w:cs="Times New Roman"/>
          <w:sz w:val="24"/>
          <w:szCs w:val="24"/>
          <w:lang w:val="en"/>
        </w:rPr>
        <w:t>Classrooms: Our Promising Students</w:t>
      </w:r>
      <w:r w:rsidRPr="005A5BBB">
        <w:rPr>
          <w:rFonts w:ascii="Times New Roman" w:hAnsi="Times New Roman" w:cs="Times New Roman"/>
          <w:lang w:val="en"/>
        </w:rPr>
        <w:t>" , DOE, Multilingual Learners Division, October 2020.</w:t>
      </w:r>
    </w:p>
  </w:footnote>
  <w:footnote w:id="2">
    <w:p w:rsidRPr="005A5BBB" w:rsidR="00360E32" w:rsidP="00360E32" w:rsidRDefault="00360E32" w14:paraId="60F16B7E" w14:textId="1794498E">
      <w:pPr>
        <w:pStyle w:val="FootnoteText"/>
        <w:rPr>
          <w:rFonts w:ascii="Times New Roman" w:hAnsi="Times New Roman" w:cs="Times New Roman"/>
        </w:rPr>
      </w:pPr>
      <w:r w:rsidRPr="005A5BBB">
        <w:rPr>
          <w:rStyle w:val="FootnoteReference"/>
          <w:rFonts w:ascii="Times New Roman" w:hAnsi="Times New Roman" w:cs="Times New Roman"/>
          <w:lang w:val="en"/>
        </w:rPr>
        <w:footnoteRef/>
      </w:r>
      <w:r w:rsidRPr="005A5BBB">
        <w:rPr>
          <w:rFonts w:ascii="Times New Roman" w:hAnsi="Times New Roman" w:cs="Times New Roman"/>
          <w:lang w:val="en"/>
        </w:rPr>
        <w:t xml:space="preserve">  </w:t>
      </w:r>
      <w:r w:rsidRPr="005A5BBB">
        <w:rPr>
          <w:rFonts w:ascii="Times New Roman" w:hAnsi="Times New Roman" w:cs="Times New Roman"/>
          <w:sz w:val="24"/>
          <w:szCs w:val="24"/>
          <w:lang w:val="en"/>
        </w:rPr>
        <w:t>Pedagogical Leadership Framework</w:t>
      </w:r>
      <w:r w:rsidRPr="005A5BBB">
        <w:rPr>
          <w:rFonts w:ascii="Times New Roman" w:hAnsi="Times New Roman" w:cs="Times New Roman"/>
          <w:lang w:val="en"/>
        </w:rPr>
        <w:t xml:space="preserve"> : </w:t>
      </w:r>
      <w:r w:rsidRPr="00BC3A9B" w:rsidR="00BC3A9B">
        <w:rPr>
          <w:rFonts w:ascii="Times New Roman" w:hAnsi="Times New Roman" w:cs="Times New Roman"/>
          <w:lang w:val="en"/>
        </w:rPr>
        <w:t>https://www.schools.nyc.gov/school-year-20-21/return-to-school-2020/welcome-to-the-2020-2021-school-year/equity-and-excellence-our-continued-commitment</w:t>
      </w:r>
    </w:p>
  </w:footnote>
  <w:footnote w:id="3">
    <w:p w:rsidRPr="005A5BBB" w:rsidR="00360E32" w:rsidP="00360E32" w:rsidRDefault="00360E32" w14:paraId="28B5A64E" w14:textId="33929C94">
      <w:pPr>
        <w:pStyle w:val="Heading1"/>
        <w:spacing w:after="161" w:line="360" w:lineRule="atLeast"/>
        <w:rPr>
          <w:rFonts w:ascii="Times New Roman" w:hAnsi="Times New Roman" w:cs="Times New Roman"/>
          <w:b w:val="0"/>
          <w:bCs w:val="0"/>
          <w:color w:val="5D5D5D"/>
          <w:sz w:val="20"/>
          <w:szCs w:val="20"/>
        </w:rPr>
      </w:pPr>
      <w:r w:rsidRPr="005A5BBB">
        <w:rPr>
          <w:rStyle w:val="FootnoteReference"/>
          <w:rFonts w:ascii="Times New Roman" w:hAnsi="Times New Roman" w:cs="Times New Roman"/>
          <w:b w:val="0"/>
          <w:bCs w:val="0"/>
          <w:lang w:val="en"/>
        </w:rPr>
        <w:footnoteRef/>
      </w:r>
      <w:r w:rsidRPr="005A5BBB">
        <w:rPr>
          <w:rFonts w:ascii="Times New Roman" w:hAnsi="Times New Roman" w:cs="Times New Roman"/>
          <w:b w:val="0"/>
          <w:bCs w:val="0"/>
          <w:lang w:val="en"/>
        </w:rPr>
        <w:t xml:space="preserve">  Culturally Responsive-</w:t>
      </w:r>
      <w:r w:rsidR="00BC3A9B">
        <w:rPr>
          <w:rFonts w:ascii="Times New Roman" w:hAnsi="Times New Roman" w:cs="Times New Roman"/>
          <w:b w:val="0"/>
          <w:bCs w:val="0"/>
          <w:lang w:val="en"/>
        </w:rPr>
        <w:t>Sustaining</w:t>
      </w:r>
      <w:r w:rsidRPr="005A5BBB">
        <w:rPr>
          <w:rFonts w:ascii="Times New Roman" w:hAnsi="Times New Roman" w:cs="Times New Roman"/>
          <w:b w:val="0"/>
          <w:bCs w:val="0"/>
          <w:lang w:val="en"/>
        </w:rPr>
        <w:t xml:space="preserve"> Education Framework : </w:t>
      </w:r>
      <w:r w:rsidRPr="005A5BBB">
        <w:rPr>
          <w:rFonts w:ascii="Times New Roman" w:hAnsi="Times New Roman" w:cs="Times New Roman"/>
          <w:b w:val="0"/>
          <w:bCs w:val="0"/>
          <w:sz w:val="20"/>
          <w:szCs w:val="20"/>
          <w:lang w:val="en"/>
        </w:rPr>
        <w:t>http://www.nysed.gov/bilingual-ed/culturally-responsive-sustaining-education-framework</w:t>
      </w:r>
    </w:p>
  </w:footnote>
  <w:footnote w:id="4">
    <w:p w:rsidRPr="005A5BBB" w:rsidR="00247E18" w:rsidP="00247E18" w:rsidRDefault="00247E18" w14:paraId="40F92BFA" w14:textId="77777777">
      <w:pPr>
        <w:pStyle w:val="FootnoteText"/>
        <w:rPr>
          <w:rFonts w:ascii="Times New Roman" w:hAnsi="Times New Roman" w:cs="Times New Roman"/>
        </w:rPr>
      </w:pPr>
      <w:r w:rsidRPr="005A5BBB">
        <w:rPr>
          <w:rStyle w:val="FootnoteReference"/>
          <w:rFonts w:ascii="Times New Roman" w:hAnsi="Times New Roman" w:cs="Times New Roman"/>
          <w:lang w:val="en"/>
        </w:rPr>
        <w:footnoteRef/>
      </w:r>
      <w:r w:rsidRPr="005A5BBB">
        <w:rPr>
          <w:rFonts w:ascii="Times New Roman" w:hAnsi="Times New Roman" w:cs="Times New Roman"/>
          <w:lang w:val="en"/>
        </w:rPr>
        <w:t xml:space="preserve"> ELL Demographic Report 2018-2019: https://infohub.nyced.org/docs/default-source/default-document-library/ell-demographic-report.pdf</w:t>
      </w:r>
    </w:p>
  </w:footnote>
  <w:footnote w:id="5">
    <w:p w:rsidRPr="005A5BBB" w:rsidR="00C135AF" w:rsidP="00360E32" w:rsidRDefault="00C135AF" w14:paraId="2CEC809B" w14:textId="77777777">
      <w:pPr>
        <w:pStyle w:val="FootnoteText"/>
        <w:rPr>
          <w:rFonts w:ascii="Times New Roman" w:hAnsi="Times New Roman" w:cs="Times New Roman"/>
        </w:rPr>
      </w:pPr>
      <w:r w:rsidRPr="005A5BBB">
        <w:rPr>
          <w:rStyle w:val="FootnoteReference"/>
          <w:rFonts w:ascii="Times New Roman" w:hAnsi="Times New Roman" w:cs="Times New Roman"/>
          <w:lang w:val="en"/>
        </w:rPr>
        <w:footnoteRef/>
      </w:r>
      <w:r w:rsidRPr="005A5BBB">
        <w:rPr>
          <w:rFonts w:ascii="Times New Roman" w:hAnsi="Times New Roman" w:cs="Times New Roman"/>
          <w:lang w:val="en"/>
        </w:rPr>
        <w:t xml:space="preserve"> AP for all initiatives ( https://apforallnyc.com/)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822C4"/>
    <w:multiLevelType w:val="hybridMultilevel"/>
    <w:tmpl w:val="847630FA"/>
    <w:lvl w:ilvl="0" w:tplc="C838B9DA">
      <w:start w:val="100"/>
      <w:numFmt w:val="bullet"/>
      <w:lvlText w:val="-"/>
      <w:lvlJc w:val="left"/>
      <w:pPr>
        <w:ind w:left="1080" w:hanging="360"/>
      </w:pPr>
      <w:rPr>
        <w:rFonts w:hint="default" w:ascii="Times New Roman" w:hAnsi="Times New Roman" w:cs="Times New Roman"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BDB4B8E"/>
    <w:multiLevelType w:val="hybridMultilevel"/>
    <w:tmpl w:val="9752C13E"/>
    <w:lvl w:ilvl="0" w:tplc="C838B9DA">
      <w:start w:val="100"/>
      <w:numFmt w:val="bullet"/>
      <w:lvlText w:val="-"/>
      <w:lvlJc w:val="left"/>
      <w:pPr>
        <w:ind w:left="2413" w:hanging="360"/>
      </w:pPr>
      <w:rPr>
        <w:rFonts w:hint="default" w:ascii="Times New Roman" w:hAnsi="Times New Roman" w:cs="Times New Roman" w:eastAsiaTheme="minorHAnsi"/>
      </w:rPr>
    </w:lvl>
    <w:lvl w:ilvl="1" w:tplc="04090003" w:tentative="1">
      <w:start w:val="1"/>
      <w:numFmt w:val="bullet"/>
      <w:lvlText w:val="o"/>
      <w:lvlJc w:val="left"/>
      <w:pPr>
        <w:ind w:left="2773" w:hanging="360"/>
      </w:pPr>
      <w:rPr>
        <w:rFonts w:hint="default" w:ascii="Courier New" w:hAnsi="Courier New" w:cs="Courier New"/>
      </w:rPr>
    </w:lvl>
    <w:lvl w:ilvl="2" w:tplc="04090005" w:tentative="1">
      <w:start w:val="1"/>
      <w:numFmt w:val="bullet"/>
      <w:lvlText w:val=""/>
      <w:lvlJc w:val="left"/>
      <w:pPr>
        <w:ind w:left="3493" w:hanging="360"/>
      </w:pPr>
      <w:rPr>
        <w:rFonts w:hint="default" w:ascii="Wingdings" w:hAnsi="Wingdings"/>
      </w:rPr>
    </w:lvl>
    <w:lvl w:ilvl="3" w:tplc="04090001" w:tentative="1">
      <w:start w:val="1"/>
      <w:numFmt w:val="bullet"/>
      <w:lvlText w:val=""/>
      <w:lvlJc w:val="left"/>
      <w:pPr>
        <w:ind w:left="4213" w:hanging="360"/>
      </w:pPr>
      <w:rPr>
        <w:rFonts w:hint="default" w:ascii="Symbol" w:hAnsi="Symbol"/>
      </w:rPr>
    </w:lvl>
    <w:lvl w:ilvl="4" w:tplc="04090003" w:tentative="1">
      <w:start w:val="1"/>
      <w:numFmt w:val="bullet"/>
      <w:lvlText w:val="o"/>
      <w:lvlJc w:val="left"/>
      <w:pPr>
        <w:ind w:left="4933" w:hanging="360"/>
      </w:pPr>
      <w:rPr>
        <w:rFonts w:hint="default" w:ascii="Courier New" w:hAnsi="Courier New" w:cs="Courier New"/>
      </w:rPr>
    </w:lvl>
    <w:lvl w:ilvl="5" w:tplc="04090005" w:tentative="1">
      <w:start w:val="1"/>
      <w:numFmt w:val="bullet"/>
      <w:lvlText w:val=""/>
      <w:lvlJc w:val="left"/>
      <w:pPr>
        <w:ind w:left="5653" w:hanging="360"/>
      </w:pPr>
      <w:rPr>
        <w:rFonts w:hint="default" w:ascii="Wingdings" w:hAnsi="Wingdings"/>
      </w:rPr>
    </w:lvl>
    <w:lvl w:ilvl="6" w:tplc="04090001" w:tentative="1">
      <w:start w:val="1"/>
      <w:numFmt w:val="bullet"/>
      <w:lvlText w:val=""/>
      <w:lvlJc w:val="left"/>
      <w:pPr>
        <w:ind w:left="6373" w:hanging="360"/>
      </w:pPr>
      <w:rPr>
        <w:rFonts w:hint="default" w:ascii="Symbol" w:hAnsi="Symbol"/>
      </w:rPr>
    </w:lvl>
    <w:lvl w:ilvl="7" w:tplc="04090003" w:tentative="1">
      <w:start w:val="1"/>
      <w:numFmt w:val="bullet"/>
      <w:lvlText w:val="o"/>
      <w:lvlJc w:val="left"/>
      <w:pPr>
        <w:ind w:left="7093" w:hanging="360"/>
      </w:pPr>
      <w:rPr>
        <w:rFonts w:hint="default" w:ascii="Courier New" w:hAnsi="Courier New" w:cs="Courier New"/>
      </w:rPr>
    </w:lvl>
    <w:lvl w:ilvl="8" w:tplc="04090005" w:tentative="1">
      <w:start w:val="1"/>
      <w:numFmt w:val="bullet"/>
      <w:lvlText w:val=""/>
      <w:lvlJc w:val="left"/>
      <w:pPr>
        <w:ind w:left="7813" w:hanging="360"/>
      </w:pPr>
      <w:rPr>
        <w:rFonts w:hint="default" w:ascii="Wingdings" w:hAnsi="Wingdings"/>
      </w:rPr>
    </w:lvl>
  </w:abstractNum>
  <w:abstractNum w:abstractNumId="2" w15:restartNumberingAfterBreak="0">
    <w:nsid w:val="328E32E8"/>
    <w:multiLevelType w:val="hybridMultilevel"/>
    <w:tmpl w:val="4D18F5A2"/>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351D4659"/>
    <w:multiLevelType w:val="hybridMultilevel"/>
    <w:tmpl w:val="0426A230"/>
    <w:lvl w:ilvl="0" w:tplc="DCC4EBFC">
      <w:numFmt w:val="bullet"/>
      <w:lvlText w:val="o"/>
      <w:lvlJc w:val="left"/>
      <w:pPr>
        <w:ind w:left="1477" w:hanging="360"/>
      </w:pPr>
      <w:rPr>
        <w:rFonts w:hint="default" w:ascii="Times New Roman" w:hAnsi="Times New Roman" w:eastAsia="Times New Roman" w:cs="Times New Roman"/>
        <w:color w:val="833B0A"/>
        <w:w w:val="100"/>
        <w:sz w:val="24"/>
        <w:szCs w:val="24"/>
        <w:lang w:val="en-US" w:eastAsia="en-US" w:bidi="ar-SA"/>
      </w:rPr>
    </w:lvl>
    <w:lvl w:ilvl="1" w:tplc="04090003" w:tentative="1">
      <w:start w:val="1"/>
      <w:numFmt w:val="bullet"/>
      <w:lvlText w:val="o"/>
      <w:lvlJc w:val="left"/>
      <w:pPr>
        <w:ind w:left="2197" w:hanging="360"/>
      </w:pPr>
      <w:rPr>
        <w:rFonts w:hint="default" w:ascii="Courier New" w:hAnsi="Courier New" w:cs="Courier New"/>
      </w:rPr>
    </w:lvl>
    <w:lvl w:ilvl="2" w:tplc="04090005" w:tentative="1">
      <w:start w:val="1"/>
      <w:numFmt w:val="bullet"/>
      <w:lvlText w:val=""/>
      <w:lvlJc w:val="left"/>
      <w:pPr>
        <w:ind w:left="2917" w:hanging="360"/>
      </w:pPr>
      <w:rPr>
        <w:rFonts w:hint="default" w:ascii="Wingdings" w:hAnsi="Wingdings"/>
      </w:rPr>
    </w:lvl>
    <w:lvl w:ilvl="3" w:tplc="04090001" w:tentative="1">
      <w:start w:val="1"/>
      <w:numFmt w:val="bullet"/>
      <w:lvlText w:val=""/>
      <w:lvlJc w:val="left"/>
      <w:pPr>
        <w:ind w:left="3637" w:hanging="360"/>
      </w:pPr>
      <w:rPr>
        <w:rFonts w:hint="default" w:ascii="Symbol" w:hAnsi="Symbol"/>
      </w:rPr>
    </w:lvl>
    <w:lvl w:ilvl="4" w:tplc="04090003" w:tentative="1">
      <w:start w:val="1"/>
      <w:numFmt w:val="bullet"/>
      <w:lvlText w:val="o"/>
      <w:lvlJc w:val="left"/>
      <w:pPr>
        <w:ind w:left="4357" w:hanging="360"/>
      </w:pPr>
      <w:rPr>
        <w:rFonts w:hint="default" w:ascii="Courier New" w:hAnsi="Courier New" w:cs="Courier New"/>
      </w:rPr>
    </w:lvl>
    <w:lvl w:ilvl="5" w:tplc="04090005" w:tentative="1">
      <w:start w:val="1"/>
      <w:numFmt w:val="bullet"/>
      <w:lvlText w:val=""/>
      <w:lvlJc w:val="left"/>
      <w:pPr>
        <w:ind w:left="5077" w:hanging="360"/>
      </w:pPr>
      <w:rPr>
        <w:rFonts w:hint="default" w:ascii="Wingdings" w:hAnsi="Wingdings"/>
      </w:rPr>
    </w:lvl>
    <w:lvl w:ilvl="6" w:tplc="04090001" w:tentative="1">
      <w:start w:val="1"/>
      <w:numFmt w:val="bullet"/>
      <w:lvlText w:val=""/>
      <w:lvlJc w:val="left"/>
      <w:pPr>
        <w:ind w:left="5797" w:hanging="360"/>
      </w:pPr>
      <w:rPr>
        <w:rFonts w:hint="default" w:ascii="Symbol" w:hAnsi="Symbol"/>
      </w:rPr>
    </w:lvl>
    <w:lvl w:ilvl="7" w:tplc="04090003" w:tentative="1">
      <w:start w:val="1"/>
      <w:numFmt w:val="bullet"/>
      <w:lvlText w:val="o"/>
      <w:lvlJc w:val="left"/>
      <w:pPr>
        <w:ind w:left="6517" w:hanging="360"/>
      </w:pPr>
      <w:rPr>
        <w:rFonts w:hint="default" w:ascii="Courier New" w:hAnsi="Courier New" w:cs="Courier New"/>
      </w:rPr>
    </w:lvl>
    <w:lvl w:ilvl="8" w:tplc="04090005" w:tentative="1">
      <w:start w:val="1"/>
      <w:numFmt w:val="bullet"/>
      <w:lvlText w:val=""/>
      <w:lvlJc w:val="left"/>
      <w:pPr>
        <w:ind w:left="7237" w:hanging="360"/>
      </w:pPr>
      <w:rPr>
        <w:rFonts w:hint="default" w:ascii="Wingdings" w:hAnsi="Wingdings"/>
      </w:rPr>
    </w:lvl>
  </w:abstractNum>
  <w:abstractNum w:abstractNumId="4" w15:restartNumberingAfterBreak="0">
    <w:nsid w:val="6BA563B3"/>
    <w:multiLevelType w:val="hybridMultilevel"/>
    <w:tmpl w:val="2CAAC420"/>
    <w:lvl w:ilvl="0" w:tplc="DCC4EBFC">
      <w:numFmt w:val="bullet"/>
      <w:lvlText w:val="o"/>
      <w:lvlJc w:val="left"/>
      <w:pPr>
        <w:ind w:left="2053" w:hanging="360"/>
      </w:pPr>
      <w:rPr>
        <w:rFonts w:hint="default" w:ascii="Times New Roman" w:hAnsi="Times New Roman" w:eastAsia="Times New Roman" w:cs="Times New Roman"/>
        <w:color w:val="833B0A"/>
        <w:w w:val="100"/>
        <w:sz w:val="24"/>
        <w:szCs w:val="24"/>
        <w:lang w:val="en-US" w:eastAsia="en-US" w:bidi="ar-SA"/>
      </w:rPr>
    </w:lvl>
    <w:lvl w:ilvl="1" w:tplc="04090003" w:tentative="1">
      <w:start w:val="1"/>
      <w:numFmt w:val="bullet"/>
      <w:lvlText w:val="o"/>
      <w:lvlJc w:val="left"/>
      <w:pPr>
        <w:ind w:left="2773" w:hanging="360"/>
      </w:pPr>
      <w:rPr>
        <w:rFonts w:hint="default" w:ascii="Courier New" w:hAnsi="Courier New" w:cs="Courier New"/>
      </w:rPr>
    </w:lvl>
    <w:lvl w:ilvl="2" w:tplc="04090005" w:tentative="1">
      <w:start w:val="1"/>
      <w:numFmt w:val="bullet"/>
      <w:lvlText w:val=""/>
      <w:lvlJc w:val="left"/>
      <w:pPr>
        <w:ind w:left="3493" w:hanging="360"/>
      </w:pPr>
      <w:rPr>
        <w:rFonts w:hint="default" w:ascii="Wingdings" w:hAnsi="Wingdings"/>
      </w:rPr>
    </w:lvl>
    <w:lvl w:ilvl="3" w:tplc="04090001" w:tentative="1">
      <w:start w:val="1"/>
      <w:numFmt w:val="bullet"/>
      <w:lvlText w:val=""/>
      <w:lvlJc w:val="left"/>
      <w:pPr>
        <w:ind w:left="4213" w:hanging="360"/>
      </w:pPr>
      <w:rPr>
        <w:rFonts w:hint="default" w:ascii="Symbol" w:hAnsi="Symbol"/>
      </w:rPr>
    </w:lvl>
    <w:lvl w:ilvl="4" w:tplc="04090003" w:tentative="1">
      <w:start w:val="1"/>
      <w:numFmt w:val="bullet"/>
      <w:lvlText w:val="o"/>
      <w:lvlJc w:val="left"/>
      <w:pPr>
        <w:ind w:left="4933" w:hanging="360"/>
      </w:pPr>
      <w:rPr>
        <w:rFonts w:hint="default" w:ascii="Courier New" w:hAnsi="Courier New" w:cs="Courier New"/>
      </w:rPr>
    </w:lvl>
    <w:lvl w:ilvl="5" w:tplc="04090005" w:tentative="1">
      <w:start w:val="1"/>
      <w:numFmt w:val="bullet"/>
      <w:lvlText w:val=""/>
      <w:lvlJc w:val="left"/>
      <w:pPr>
        <w:ind w:left="5653" w:hanging="360"/>
      </w:pPr>
      <w:rPr>
        <w:rFonts w:hint="default" w:ascii="Wingdings" w:hAnsi="Wingdings"/>
      </w:rPr>
    </w:lvl>
    <w:lvl w:ilvl="6" w:tplc="04090001" w:tentative="1">
      <w:start w:val="1"/>
      <w:numFmt w:val="bullet"/>
      <w:lvlText w:val=""/>
      <w:lvlJc w:val="left"/>
      <w:pPr>
        <w:ind w:left="6373" w:hanging="360"/>
      </w:pPr>
      <w:rPr>
        <w:rFonts w:hint="default" w:ascii="Symbol" w:hAnsi="Symbol"/>
      </w:rPr>
    </w:lvl>
    <w:lvl w:ilvl="7" w:tplc="04090003" w:tentative="1">
      <w:start w:val="1"/>
      <w:numFmt w:val="bullet"/>
      <w:lvlText w:val="o"/>
      <w:lvlJc w:val="left"/>
      <w:pPr>
        <w:ind w:left="7093" w:hanging="360"/>
      </w:pPr>
      <w:rPr>
        <w:rFonts w:hint="default" w:ascii="Courier New" w:hAnsi="Courier New" w:cs="Courier New"/>
      </w:rPr>
    </w:lvl>
    <w:lvl w:ilvl="8" w:tplc="04090005" w:tentative="1">
      <w:start w:val="1"/>
      <w:numFmt w:val="bullet"/>
      <w:lvlText w:val=""/>
      <w:lvlJc w:val="left"/>
      <w:pPr>
        <w:ind w:left="7813" w:hanging="360"/>
      </w:pPr>
      <w:rPr>
        <w:rFonts w:hint="default" w:ascii="Wingdings" w:hAnsi="Wingdings"/>
      </w:rPr>
    </w:lvl>
  </w:abstractNum>
  <w:abstractNum w:abstractNumId="5" w15:restartNumberingAfterBreak="0">
    <w:nsid w:val="78842DA7"/>
    <w:multiLevelType w:val="hybridMultilevel"/>
    <w:tmpl w:val="6C88042A"/>
    <w:lvl w:ilvl="0" w:tplc="DCC4EBFC">
      <w:numFmt w:val="bullet"/>
      <w:lvlText w:val="o"/>
      <w:lvlJc w:val="left"/>
      <w:pPr>
        <w:ind w:left="1080" w:hanging="360"/>
      </w:pPr>
      <w:rPr>
        <w:rFonts w:hint="default" w:ascii="Times New Roman" w:hAnsi="Times New Roman" w:eastAsia="Times New Roman" w:cs="Times New Roman"/>
        <w:color w:val="833B0A"/>
        <w:w w:val="100"/>
        <w:position w:val="8"/>
        <w:sz w:val="24"/>
        <w:szCs w:val="24"/>
        <w:lang w:val="en-US" w:eastAsia="en-US" w:bidi="ar-SA"/>
      </w:rPr>
    </w:lvl>
    <w:lvl w:ilvl="1" w:tplc="B86C8E34">
      <w:numFmt w:val="bullet"/>
      <w:lvlText w:val="•"/>
      <w:lvlJc w:val="left"/>
      <w:pPr>
        <w:ind w:left="1440" w:hanging="216"/>
      </w:pPr>
      <w:rPr>
        <w:rFonts w:hint="default" w:ascii="Arial" w:hAnsi="Arial" w:eastAsia="Arial" w:cs="Arial"/>
        <w:color w:val="833B0A"/>
        <w:w w:val="131"/>
        <w:sz w:val="24"/>
        <w:szCs w:val="24"/>
        <w:lang w:val="en-US" w:eastAsia="en-US" w:bidi="ar-SA"/>
      </w:rPr>
    </w:lvl>
    <w:lvl w:ilvl="2" w:tplc="DCC4EBFC">
      <w:numFmt w:val="bullet"/>
      <w:lvlText w:val="o"/>
      <w:lvlJc w:val="left"/>
      <w:pPr>
        <w:ind w:left="1945" w:hanging="216"/>
      </w:pPr>
      <w:rPr>
        <w:rFonts w:hint="default" w:ascii="Times New Roman" w:hAnsi="Times New Roman" w:eastAsia="Times New Roman" w:cs="Times New Roman"/>
        <w:color w:val="833B0A"/>
        <w:w w:val="100"/>
        <w:sz w:val="24"/>
        <w:szCs w:val="24"/>
        <w:lang w:val="en-US" w:eastAsia="en-US" w:bidi="ar-SA"/>
      </w:rPr>
    </w:lvl>
    <w:lvl w:ilvl="3" w:tplc="D34CA194">
      <w:numFmt w:val="bullet"/>
      <w:lvlText w:val="•"/>
      <w:lvlJc w:val="left"/>
      <w:pPr>
        <w:ind w:left="2449" w:hanging="216"/>
      </w:pPr>
      <w:rPr>
        <w:rFonts w:hint="default" w:ascii="Arial" w:hAnsi="Arial" w:eastAsia="Arial" w:cs="Arial"/>
        <w:color w:val="833B0A"/>
        <w:w w:val="131"/>
        <w:sz w:val="24"/>
        <w:szCs w:val="24"/>
        <w:lang w:val="en-US" w:eastAsia="en-US" w:bidi="ar-SA"/>
      </w:rPr>
    </w:lvl>
    <w:lvl w:ilvl="4" w:tplc="3028DB58">
      <w:numFmt w:val="bullet"/>
      <w:lvlText w:val="•"/>
      <w:lvlJc w:val="left"/>
      <w:pPr>
        <w:ind w:left="3709" w:hanging="216"/>
      </w:pPr>
      <w:rPr>
        <w:rFonts w:hint="default"/>
        <w:lang w:val="en-US" w:eastAsia="en-US" w:bidi="ar-SA"/>
      </w:rPr>
    </w:lvl>
    <w:lvl w:ilvl="5" w:tplc="5EFA395A">
      <w:numFmt w:val="bullet"/>
      <w:lvlText w:val="•"/>
      <w:lvlJc w:val="left"/>
      <w:pPr>
        <w:ind w:left="4966" w:hanging="216"/>
      </w:pPr>
      <w:rPr>
        <w:rFonts w:hint="default"/>
        <w:lang w:val="en-US" w:eastAsia="en-US" w:bidi="ar-SA"/>
      </w:rPr>
    </w:lvl>
    <w:lvl w:ilvl="6" w:tplc="95240E20">
      <w:numFmt w:val="bullet"/>
      <w:lvlText w:val="•"/>
      <w:lvlJc w:val="left"/>
      <w:pPr>
        <w:ind w:left="6223" w:hanging="216"/>
      </w:pPr>
      <w:rPr>
        <w:rFonts w:hint="default"/>
        <w:lang w:val="en-US" w:eastAsia="en-US" w:bidi="ar-SA"/>
      </w:rPr>
    </w:lvl>
    <w:lvl w:ilvl="7" w:tplc="4EC690FE">
      <w:numFmt w:val="bullet"/>
      <w:lvlText w:val="•"/>
      <w:lvlJc w:val="left"/>
      <w:pPr>
        <w:ind w:left="7480" w:hanging="216"/>
      </w:pPr>
      <w:rPr>
        <w:rFonts w:hint="default"/>
        <w:lang w:val="en-US" w:eastAsia="en-US" w:bidi="ar-SA"/>
      </w:rPr>
    </w:lvl>
    <w:lvl w:ilvl="8" w:tplc="C6369240">
      <w:numFmt w:val="bullet"/>
      <w:lvlText w:val="•"/>
      <w:lvlJc w:val="left"/>
      <w:pPr>
        <w:ind w:left="8737" w:hanging="216"/>
      </w:pPr>
      <w:rPr>
        <w:rFonts w:hint="default"/>
        <w:lang w:val="en-US" w:eastAsia="en-US" w:bidi="ar-SA"/>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5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32"/>
    <w:rsid w:val="00030E71"/>
    <w:rsid w:val="000A453C"/>
    <w:rsid w:val="00206ADF"/>
    <w:rsid w:val="00247E18"/>
    <w:rsid w:val="00360E32"/>
    <w:rsid w:val="003A1C49"/>
    <w:rsid w:val="005A5BBB"/>
    <w:rsid w:val="005D563D"/>
    <w:rsid w:val="00603BAD"/>
    <w:rsid w:val="006972AC"/>
    <w:rsid w:val="00703160"/>
    <w:rsid w:val="007316C9"/>
    <w:rsid w:val="00754741"/>
    <w:rsid w:val="00794F22"/>
    <w:rsid w:val="008E0F74"/>
    <w:rsid w:val="009A5274"/>
    <w:rsid w:val="00BC3A9B"/>
    <w:rsid w:val="00C135AF"/>
    <w:rsid w:val="00C463A7"/>
    <w:rsid w:val="00D008B6"/>
    <w:rsid w:val="00E5147F"/>
    <w:rsid w:val="00ED2BBA"/>
    <w:rsid w:val="768F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A8F0"/>
  <w15:chartTrackingRefBased/>
  <w15:docId w15:val="{A1831AFF-1580-C24A-B3AF-22E26CC301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0E32"/>
  </w:style>
  <w:style w:type="paragraph" w:styleId="Heading1">
    <w:name w:val="heading 1"/>
    <w:basedOn w:val="Normal"/>
    <w:link w:val="Heading1Char"/>
    <w:uiPriority w:val="9"/>
    <w:qFormat/>
    <w:rsid w:val="00360E32"/>
    <w:pPr>
      <w:widowControl w:val="0"/>
      <w:autoSpaceDE w:val="0"/>
      <w:autoSpaceDN w:val="0"/>
      <w:ind w:left="108"/>
      <w:outlineLvl w:val="0"/>
    </w:pPr>
    <w:rPr>
      <w:rFonts w:ascii="Arial" w:hAnsi="Arial" w:eastAsia="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60E32"/>
    <w:rPr>
      <w:rFonts w:ascii="Arial" w:hAnsi="Arial" w:eastAsia="Arial" w:cs="Arial"/>
      <w:b/>
      <w:bCs/>
    </w:rPr>
  </w:style>
  <w:style w:type="paragraph" w:styleId="BodyText">
    <w:name w:val="Body Text"/>
    <w:basedOn w:val="Normal"/>
    <w:link w:val="BodyTextChar"/>
    <w:uiPriority w:val="1"/>
    <w:qFormat/>
    <w:rsid w:val="00360E32"/>
    <w:pPr>
      <w:autoSpaceDE w:val="0"/>
      <w:autoSpaceDN w:val="0"/>
      <w:adjustRightInd w:val="0"/>
    </w:pPr>
    <w:rPr>
      <w:rFonts w:ascii="Arial" w:hAnsi="Arial" w:cs="Arial"/>
      <w:b/>
      <w:bCs/>
    </w:rPr>
  </w:style>
  <w:style w:type="character" w:styleId="BodyTextChar" w:customStyle="1">
    <w:name w:val="Body Text Char"/>
    <w:basedOn w:val="DefaultParagraphFont"/>
    <w:link w:val="BodyText"/>
    <w:uiPriority w:val="1"/>
    <w:rsid w:val="00360E32"/>
    <w:rPr>
      <w:rFonts w:ascii="Arial" w:hAnsi="Arial" w:cs="Arial"/>
      <w:b/>
      <w:bCs/>
    </w:rPr>
  </w:style>
  <w:style w:type="paragraph" w:styleId="ListParagraph">
    <w:name w:val="List Paragraph"/>
    <w:basedOn w:val="Normal"/>
    <w:uiPriority w:val="1"/>
    <w:qFormat/>
    <w:rsid w:val="00360E32"/>
    <w:pPr>
      <w:ind w:left="720"/>
      <w:contextualSpacing/>
    </w:pPr>
  </w:style>
  <w:style w:type="paragraph" w:styleId="FootnoteText">
    <w:name w:val="footnote text"/>
    <w:basedOn w:val="Normal"/>
    <w:link w:val="FootnoteTextChar"/>
    <w:uiPriority w:val="99"/>
    <w:semiHidden/>
    <w:unhideWhenUsed/>
    <w:rsid w:val="00360E32"/>
    <w:rPr>
      <w:sz w:val="20"/>
      <w:szCs w:val="20"/>
    </w:rPr>
  </w:style>
  <w:style w:type="character" w:styleId="FootnoteTextChar" w:customStyle="1">
    <w:name w:val="Footnote Text Char"/>
    <w:basedOn w:val="DefaultParagraphFont"/>
    <w:link w:val="FootnoteText"/>
    <w:uiPriority w:val="99"/>
    <w:semiHidden/>
    <w:rsid w:val="00360E32"/>
    <w:rPr>
      <w:sz w:val="20"/>
      <w:szCs w:val="20"/>
      <w:lang w:val="fr-FR"/>
    </w:rPr>
  </w:style>
  <w:style w:type="character" w:styleId="FootnoteReference">
    <w:name w:val="footnote reference"/>
    <w:basedOn w:val="DefaultParagraphFont"/>
    <w:uiPriority w:val="99"/>
    <w:semiHidden/>
    <w:unhideWhenUsed/>
    <w:rsid w:val="00360E32"/>
    <w:rPr>
      <w:vertAlign w:val="superscript"/>
    </w:rPr>
  </w:style>
  <w:style w:type="character" w:styleId="PlaceholderText">
    <w:name w:val="Placeholder Text"/>
    <w:basedOn w:val="DefaultParagraphFont"/>
    <w:uiPriority w:val="99"/>
    <w:semiHidden/>
    <w:rsid w:val="005D563D"/>
    <w:rPr>
      <w:color w:val="808080"/>
    </w:rPr>
  </w:style>
  <w:style w:type="character" w:styleId="Hyperlink">
    <w:name w:val="Hyperlink"/>
    <w:basedOn w:val="DefaultParagraphFont"/>
    <w:uiPriority w:val="99"/>
    <w:unhideWhenUsed/>
    <w:rsid w:val="00BC3A9B"/>
    <w:rPr>
      <w:color w:val="0563C1" w:themeColor="hyperlink"/>
      <w:u w:val="single"/>
    </w:rPr>
  </w:style>
  <w:style w:type="character" w:styleId="UnresolvedMention">
    <w:name w:val="Unresolved Mention"/>
    <w:basedOn w:val="DefaultParagraphFont"/>
    <w:uiPriority w:val="99"/>
    <w:semiHidden/>
    <w:unhideWhenUsed/>
    <w:rsid w:val="00BC3A9B"/>
    <w:rPr>
      <w:color w:val="605E5C"/>
      <w:shd w:val="clear" w:color="auto" w:fill="E1DFDD"/>
    </w:rPr>
  </w:style>
  <w:style w:type="paragraph" w:styleId="Default" w:customStyle="1">
    <w:name w:val="Default"/>
    <w:rsid w:val="00247E1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schools.nyc.gov/school-year-20-21/return-to-school-2020/welcome-to-the-2020-2021-school-year/equity-and-excellence-our-continued-commitment"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www.dropbox.com/s/5bk5wrfjayn7g55/Accelerating%20Learning%20for%20Heritage%20Speakers%20in%20our%20World%20Language%20Classrooms%20%281%29.pdf?dl=0" TargetMode="External" Id="rId7" /><Relationship Type="http://schemas.openxmlformats.org/officeDocument/2006/relationships/hyperlink" Target="https://apforallnyc.co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http://www.nysed.gov/curriculum-instruction/lote-approved-assessments"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French Heritage Language Program</lastModifiedBy>
  <revision>7</revision>
  <dcterms:created xsi:type="dcterms:W3CDTF">2020-12-04T13:54:00.0000000Z</dcterms:created>
  <dcterms:modified xsi:type="dcterms:W3CDTF">2021-01-06T00:29:30.4134801Z</dcterms:modified>
</coreProperties>
</file>